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比选（2026）142号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奈瑟菌/嗜血杆菌检测试剂盒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奈瑟菌/嗜血杆菌检测试剂盒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比选（2026）142号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en-US" w:eastAsia="zh-CN"/>
        </w:rPr>
        <w:t>用于临床奈瑟菌/嗜血杆菌鉴定和/或药敏测试。</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奈瑟菌/嗜血杆菌检测试剂盒</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EE53049">
            <w:pPr>
              <w:keepNext w:val="0"/>
              <w:keepLines w:val="0"/>
              <w:widowControl/>
              <w:numPr>
                <w:ilvl w:val="0"/>
                <w:numId w:val="16"/>
              </w:numPr>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用于临床奈瑟菌/嗜血杆菌鉴定和/或药敏测试。</w:t>
            </w:r>
          </w:p>
          <w:p w14:paraId="6A0100FC">
            <w:pPr>
              <w:keepNext w:val="0"/>
              <w:keepLines w:val="0"/>
              <w:widowControl/>
              <w:numPr>
                <w:numId w:val="0"/>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w:t>
            </w:r>
            <w:bookmarkStart w:id="80" w:name="_GoBack"/>
            <w:bookmarkEnd w:id="80"/>
            <w:r>
              <w:rPr>
                <w:rFonts w:hint="eastAsia" w:ascii="宋体" w:hAnsi="宋体" w:eastAsia="宋体" w:cs="宋体"/>
                <w:i w:val="0"/>
                <w:iCs w:val="0"/>
                <w:color w:val="000000"/>
                <w:kern w:val="0"/>
                <w:sz w:val="18"/>
                <w:szCs w:val="18"/>
                <w:u w:val="none"/>
                <w:lang w:val="en-US" w:eastAsia="zh-CN" w:bidi="ar"/>
              </w:rPr>
              <w:t>用耗材招采管理系统》价格联动挂网专区挂网的产品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24123"/>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16029"/>
      <w:bookmarkStart w:id="43" w:name="_Toc14829"/>
      <w:bookmarkStart w:id="44" w:name="_Toc11352"/>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4305"/>
      <w:bookmarkStart w:id="48" w:name="_Toc22676"/>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27661"/>
      <w:bookmarkStart w:id="62" w:name="_Toc25638"/>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6435"/>
      <w:bookmarkStart w:id="67" w:name="_Toc2041"/>
      <w:bookmarkStart w:id="68" w:name="_Toc26969"/>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BE170E5-4120-46C6-9DAC-94331586286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3263A2A-25D0-4D4D-8384-4121A344C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2C68314-12D6-4146-B7BF-A18934FCFE7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30AAA725-5FAC-4619-AA43-00859AEA191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6F7FC9BF"/>
    <w:multiLevelType w:val="singleLevel"/>
    <w:tmpl w:val="6F7FC9BF"/>
    <w:lvl w:ilvl="0" w:tentative="0">
      <w:start w:val="1"/>
      <w:numFmt w:val="decimal"/>
      <w:suff w:val="nothing"/>
      <w:lvlText w:val="%1、"/>
      <w:lvlJc w:val="left"/>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986975"/>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7D3B96"/>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2</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2026-06-10T07:50:30Z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BB4D037FEEBE47A8B32D98A131C20CC2_13</vt:lpwstr>
  </property>
  <property fmtid="{D5CDD505-2E9C-101B-9397-08002B2CF9AE}" pid="4" name="KSOTemplateDocerSaveRecord">
    <vt:lpwstr>eyJoZGlkIjoiZDU1MTNmZmUyODIzN2MxNDgwNzc5NDI0N2ZkNjJhM2IiLCJ1c2VySWQiOiIzMTQ2NjUyOTIifQ==</vt:lpwstr>
  </property>
</Properties>
</file>