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b/>
          <w:color w:val="000000"/>
          <w:sz w:val="36"/>
        </w:rPr>
      </w:pPr>
      <w:r>
        <w:rPr>
          <w:rFonts w:hint="eastAsia" w:ascii="宋体" w:hAnsi="宋体"/>
          <w:b/>
          <w:color w:val="000000"/>
          <w:sz w:val="36"/>
        </w:rPr>
        <w:t>项目编号：</w:t>
      </w:r>
      <w:r>
        <w:rPr>
          <w:rFonts w:hint="eastAsia" w:ascii="宋体" w:hAnsi="宋体"/>
          <w:color w:val="000000"/>
          <w:sz w:val="36"/>
          <w:szCs w:val="24"/>
        </w:rPr>
        <w:t xml:space="preserve"> </w:t>
      </w:r>
      <w:r>
        <w:rPr>
          <w:rFonts w:hint="eastAsia" w:ascii="宋体" w:hAnsi="宋体"/>
          <w:b/>
          <w:color w:val="000000"/>
          <w:sz w:val="36"/>
        </w:rPr>
        <w:t>MYCH竞磋（202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06</w:t>
      </w:r>
      <w:r>
        <w:rPr>
          <w:rFonts w:hint="eastAsia" w:ascii="宋体" w:hAnsi="宋体"/>
          <w:b/>
          <w:color w:val="000000"/>
          <w:sz w:val="36"/>
        </w:rPr>
        <w:t>号</w:t>
      </w:r>
    </w:p>
    <w:p w14:paraId="2903C7CF">
      <w:pPr>
        <w:pStyle w:val="10"/>
      </w:pPr>
    </w:p>
    <w:p w14:paraId="5BF61F99">
      <w:pPr>
        <w:ind w:left="2525" w:leftChars="342" w:hanging="1807" w:hangingChars="5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 xml:space="preserve"> </w:t>
      </w:r>
      <w:r>
        <w:rPr>
          <w:rFonts w:hint="eastAsia" w:ascii="宋体" w:hAnsi="宋体"/>
          <w:b/>
          <w:color w:val="000000"/>
          <w:sz w:val="36"/>
        </w:rPr>
        <w:t>第三方实验室检测服务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7"/>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7"/>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7"/>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7"/>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3DA670A">
      <w:pPr>
        <w:pStyle w:val="17"/>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7"/>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7"/>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14:paraId="61662245">
      <w:pPr>
        <w:pStyle w:val="16"/>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6"/>
        <w:outlineLvl w:val="0"/>
        <w:rPr>
          <w:rFonts w:hint="eastAsia" w:ascii="仿宋" w:hAnsi="仿宋" w:eastAsia="仿宋" w:cs="仿宋"/>
          <w:kern w:val="2"/>
          <w:sz w:val="22"/>
          <w:szCs w:val="22"/>
          <w:lang w:val="en-US" w:eastAsia="zh-CN" w:bidi="ar-SA"/>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2"/>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序号</w:t>
            </w:r>
          </w:p>
        </w:tc>
        <w:tc>
          <w:tcPr>
            <w:tcW w:w="1733" w:type="dxa"/>
            <w:tcBorders>
              <w:top w:val="single" w:color="auto" w:sz="18" w:space="0"/>
            </w:tcBorders>
            <w:vAlign w:val="center"/>
          </w:tcPr>
          <w:p w14:paraId="42B710C9">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应知事项</w:t>
            </w:r>
          </w:p>
        </w:tc>
        <w:tc>
          <w:tcPr>
            <w:tcW w:w="6674" w:type="dxa"/>
            <w:tcBorders>
              <w:top w:val="single" w:color="auto" w:sz="18" w:space="0"/>
            </w:tcBorders>
            <w:vAlign w:val="center"/>
          </w:tcPr>
          <w:p w14:paraId="7B4BBC22">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70A81A0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6D4B43AB">
            <w:pPr>
              <w:spacing w:line="360" w:lineRule="auto"/>
              <w:jc w:val="center"/>
              <w:rPr>
                <w:rFonts w:hint="eastAsia" w:ascii="仿宋" w:hAnsi="仿宋" w:eastAsia="仿宋" w:cs="仿宋"/>
                <w:kern w:val="2"/>
                <w:sz w:val="22"/>
                <w:szCs w:val="22"/>
                <w:lang w:val="zh-CN" w:eastAsia="zh-CN" w:bidi="ar-SA"/>
              </w:rPr>
            </w:pPr>
            <w:r>
              <w:rPr>
                <w:rFonts w:hint="eastAsia" w:ascii="仿宋" w:hAnsi="仿宋" w:eastAsia="仿宋" w:cs="仿宋"/>
                <w:kern w:val="2"/>
                <w:sz w:val="22"/>
                <w:szCs w:val="22"/>
                <w:lang w:val="en-US" w:eastAsia="zh-CN" w:bidi="ar-SA"/>
              </w:rPr>
              <w:t>项目名称</w:t>
            </w:r>
          </w:p>
        </w:tc>
        <w:tc>
          <w:tcPr>
            <w:tcW w:w="6674" w:type="dxa"/>
            <w:tcBorders>
              <w:bottom w:val="single" w:color="auto" w:sz="4" w:space="0"/>
            </w:tcBorders>
            <w:vAlign w:val="center"/>
          </w:tcPr>
          <w:p w14:paraId="1EB134AC">
            <w:pPr>
              <w:spacing w:line="360" w:lineRule="auto"/>
              <w:ind w:firstLine="1980" w:firstLineChars="90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第三方实验室检测服务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1760" w:firstLineChars="800"/>
              <w:rPr>
                <w:rFonts w:hint="default" w:ascii="仿宋" w:hAnsi="仿宋" w:eastAsia="仿宋" w:cs="仿宋"/>
                <w:sz w:val="22"/>
                <w:lang w:val="en-US" w:eastAsia="zh-CN"/>
              </w:rPr>
            </w:pP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06</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详见单价明细，总价15.58万元（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6" w:hRule="atLeast"/>
        </w:trPr>
        <w:tc>
          <w:tcPr>
            <w:tcW w:w="524" w:type="dxa"/>
            <w:vAlign w:val="center"/>
          </w:tcPr>
          <w:p w14:paraId="13662706">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4"/>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FE"/>
            </w:r>
            <w:r>
              <w:rPr>
                <w:rFonts w:hint="eastAsia" w:ascii="仿宋" w:hAnsi="仿宋" w:eastAsia="仿宋" w:cs="仿宋"/>
                <w:sz w:val="22"/>
              </w:rPr>
              <w:t xml:space="preserve">接受       </w:t>
            </w:r>
            <w:r>
              <w:rPr>
                <w:rFonts w:hint="eastAsia" w:ascii="仿宋" w:hAnsi="仿宋" w:eastAsia="仿宋" w:cs="仿宋"/>
                <w:sz w:val="22"/>
              </w:rPr>
              <w:sym w:font="Wingdings" w:char="00A8"/>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10"/>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0"/>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3"/>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3"/>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3"/>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3"/>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3"/>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3"/>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绵阳市中心医院官网采购公告中获取</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3"/>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3"/>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院感科</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文</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w:t>
            </w:r>
            <w:bookmarkStart w:id="84" w:name="_GoBack"/>
            <w:r>
              <w:rPr>
                <w:rFonts w:hint="eastAsia" w:ascii="仿宋" w:hAnsi="仿宋" w:eastAsia="仿宋" w:cs="仿宋"/>
                <w:sz w:val="22"/>
                <w:lang w:val="en-US" w:eastAsia="zh-CN"/>
              </w:rPr>
              <w:t>8142</w:t>
            </w:r>
            <w:bookmarkEnd w:id="84"/>
            <w:r>
              <w:rPr>
                <w:rFonts w:hint="eastAsia" w:ascii="仿宋" w:hAnsi="仿宋" w:eastAsia="仿宋" w:cs="仿宋"/>
                <w:sz w:val="22"/>
                <w:lang w:val="en-US" w:eastAsia="zh-CN"/>
              </w:rPr>
              <w:t>2027</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9"/>
        <w:numPr>
          <w:ilvl w:val="4"/>
          <w:numId w:val="0"/>
        </w:numPr>
        <w:outlineLvl w:val="9"/>
      </w:pPr>
    </w:p>
    <w:p w14:paraId="44A806F1"/>
    <w:p w14:paraId="7218DC45">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2"/>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3"/>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r>
              <w:rPr>
                <w:rFonts w:hint="eastAsia" w:ascii="仿宋" w:hAnsi="仿宋" w:eastAsia="仿宋" w:cs="仿宋"/>
                <w:sz w:val="22"/>
              </w:rPr>
              <w:t>国家市场监督管理部门颁发的《计量授权证书》，具备承担法定计量检定机构任务的资质，或通过中国合格评定国家认可委员会（CNAS）认可，具备实验室认可资质，且认可范围需涵盖生物安全柜校准项目。</w:t>
            </w: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1"/>
      </w:pPr>
    </w:p>
    <w:p w14:paraId="16E6B0AB">
      <w:pPr>
        <w:pStyle w:val="31"/>
      </w:pP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BE061F1">
      <w:pPr>
        <w:ind w:firstLine="630" w:firstLineChars="300"/>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根据医院工作需要，</w:t>
      </w:r>
      <w:r>
        <w:rPr>
          <w:rFonts w:hint="eastAsia" w:cstheme="minorBidi"/>
          <w:b w:val="0"/>
          <w:color w:val="auto"/>
          <w:kern w:val="2"/>
          <w:sz w:val="21"/>
          <w:szCs w:val="22"/>
          <w:lang w:val="en-US" w:eastAsia="zh-CN" w:bidi="ar-SA"/>
        </w:rPr>
        <w:t>需采购</w:t>
      </w:r>
      <w:r>
        <w:rPr>
          <w:rFonts w:hint="eastAsia" w:asciiTheme="minorHAnsi" w:hAnsiTheme="minorHAnsi" w:eastAsiaTheme="minorEastAsia" w:cstheme="minorBidi"/>
          <w:b w:val="0"/>
          <w:color w:val="auto"/>
          <w:kern w:val="2"/>
          <w:sz w:val="21"/>
          <w:szCs w:val="22"/>
          <w:lang w:val="en-US" w:eastAsia="zh-CN" w:bidi="ar-SA"/>
        </w:rPr>
        <w:t>第三方实验室检测服务</w:t>
      </w:r>
      <w:r>
        <w:rPr>
          <w:rFonts w:hint="eastAsia" w:cstheme="minorBidi"/>
          <w:b w:val="0"/>
          <w:color w:val="auto"/>
          <w:kern w:val="2"/>
          <w:sz w:val="21"/>
          <w:szCs w:val="22"/>
          <w:lang w:val="en-US" w:eastAsia="zh-CN" w:bidi="ar-SA"/>
        </w:rPr>
        <w:t>，</w:t>
      </w:r>
      <w:r>
        <w:rPr>
          <w:rFonts w:hint="eastAsia" w:asciiTheme="minorHAnsi" w:hAnsiTheme="minorHAnsi" w:eastAsiaTheme="minorEastAsia" w:cstheme="minorBidi"/>
          <w:b w:val="0"/>
          <w:color w:val="auto"/>
          <w:kern w:val="2"/>
          <w:sz w:val="21"/>
          <w:szCs w:val="22"/>
          <w:lang w:val="en-US" w:eastAsia="zh-CN" w:bidi="ar-SA"/>
        </w:rPr>
        <w:t>项目包括：洁净区域、水平层流洁净台、生物安全柜、废气</w:t>
      </w:r>
      <w:r>
        <w:rPr>
          <w:rFonts w:hint="eastAsia" w:cstheme="minorBidi"/>
          <w:b w:val="0"/>
          <w:color w:val="auto"/>
          <w:kern w:val="2"/>
          <w:sz w:val="21"/>
          <w:szCs w:val="22"/>
          <w:lang w:val="en-US" w:eastAsia="zh-CN" w:bidi="ar-SA"/>
        </w:rPr>
        <w:t>，服务期三年</w:t>
      </w:r>
      <w:r>
        <w:rPr>
          <w:rFonts w:hint="eastAsia" w:asciiTheme="minorHAnsi" w:hAnsiTheme="minorHAnsi" w:eastAsiaTheme="minorEastAsia" w:cstheme="minorBidi"/>
          <w:b w:val="0"/>
          <w:color w:val="auto"/>
          <w:kern w:val="2"/>
          <w:sz w:val="21"/>
          <w:szCs w:val="22"/>
          <w:lang w:val="en-US" w:eastAsia="zh-CN" w:bidi="ar-SA"/>
        </w:rPr>
        <w:t>。</w:t>
      </w:r>
    </w:p>
    <w:p w14:paraId="63204727">
      <w:pPr>
        <w:ind w:firstLine="630" w:firstLineChars="300"/>
        <w:rPr>
          <w:rFonts w:hint="eastAsia" w:asciiTheme="minorHAnsi" w:hAnsiTheme="minorHAnsi" w:eastAsiaTheme="minorEastAsia" w:cstheme="minorBidi"/>
          <w:b w:val="0"/>
          <w:color w:val="auto"/>
          <w:kern w:val="2"/>
          <w:sz w:val="21"/>
          <w:szCs w:val="22"/>
          <w:lang w:val="en-US" w:eastAsia="zh-CN" w:bidi="ar-SA"/>
        </w:rPr>
      </w:pP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tbl>
      <w:tblPr>
        <w:tblStyle w:val="22"/>
        <w:tblW w:w="10278" w:type="dxa"/>
        <w:tblInd w:w="0" w:type="dxa"/>
        <w:tblLayout w:type="autofit"/>
        <w:tblCellMar>
          <w:top w:w="0" w:type="dxa"/>
          <w:left w:w="108" w:type="dxa"/>
          <w:bottom w:w="0" w:type="dxa"/>
          <w:right w:w="108" w:type="dxa"/>
        </w:tblCellMar>
      </w:tblPr>
      <w:tblGrid>
        <w:gridCol w:w="3932"/>
        <w:gridCol w:w="2353"/>
        <w:gridCol w:w="1762"/>
        <w:gridCol w:w="2231"/>
      </w:tblGrid>
      <w:tr w14:paraId="31254EE7">
        <w:tblPrEx>
          <w:tblCellMar>
            <w:top w:w="0" w:type="dxa"/>
            <w:left w:w="108" w:type="dxa"/>
            <w:bottom w:w="0" w:type="dxa"/>
            <w:right w:w="108" w:type="dxa"/>
          </w:tblCellMar>
        </w:tblPrEx>
        <w:trPr>
          <w:trHeight w:val="573" w:hRule="atLeast"/>
        </w:trPr>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73456F5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检测具体项目</w:t>
            </w:r>
          </w:p>
        </w:tc>
        <w:tc>
          <w:tcPr>
            <w:tcW w:w="2353" w:type="dxa"/>
            <w:tcBorders>
              <w:top w:val="single" w:color="auto" w:sz="4" w:space="0"/>
              <w:left w:val="nil"/>
              <w:bottom w:val="single" w:color="auto" w:sz="4" w:space="0"/>
              <w:right w:val="single" w:color="auto" w:sz="4" w:space="0"/>
            </w:tcBorders>
            <w:shd w:val="clear" w:color="auto" w:fill="auto"/>
            <w:vAlign w:val="center"/>
          </w:tcPr>
          <w:p w14:paraId="49CDA66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检测次数</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717503F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单价（元/次）</w:t>
            </w:r>
          </w:p>
        </w:tc>
      </w:tr>
      <w:tr w14:paraId="1BAF91D0">
        <w:tblPrEx>
          <w:tblCellMar>
            <w:top w:w="0" w:type="dxa"/>
            <w:left w:w="108" w:type="dxa"/>
            <w:bottom w:w="0" w:type="dxa"/>
            <w:right w:w="108" w:type="dxa"/>
          </w:tblCellMar>
        </w:tblPrEx>
        <w:trPr>
          <w:trHeight w:val="558" w:hRule="atLeast"/>
        </w:trPr>
        <w:tc>
          <w:tcPr>
            <w:tcW w:w="3932" w:type="dxa"/>
            <w:vMerge w:val="restart"/>
            <w:tcBorders>
              <w:top w:val="nil"/>
              <w:left w:val="single" w:color="auto" w:sz="4" w:space="0"/>
              <w:bottom w:val="single" w:color="auto" w:sz="4" w:space="0"/>
              <w:right w:val="single" w:color="auto" w:sz="4" w:space="0"/>
            </w:tcBorders>
            <w:shd w:val="clear" w:color="auto" w:fill="auto"/>
            <w:vAlign w:val="center"/>
          </w:tcPr>
          <w:p w14:paraId="0ED63145">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温度                  </w:t>
            </w:r>
          </w:p>
          <w:p w14:paraId="5602EA22">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2.</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湿度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3.</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压差(静压差)          </w:t>
            </w:r>
          </w:p>
          <w:p w14:paraId="67613BDF">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4.</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噪声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5.</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新风量                </w:t>
            </w:r>
          </w:p>
          <w:p w14:paraId="2277DBEE">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6.</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换气次数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7.</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最低照度              </w:t>
            </w:r>
          </w:p>
          <w:p w14:paraId="17A0353F">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8.</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洁净度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9.</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风速                  </w:t>
            </w:r>
          </w:p>
          <w:p w14:paraId="7F50D4A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10.</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细菌总数</w:t>
            </w:r>
          </w:p>
        </w:tc>
        <w:tc>
          <w:tcPr>
            <w:tcW w:w="2353" w:type="dxa"/>
            <w:tcBorders>
              <w:top w:val="nil"/>
              <w:left w:val="nil"/>
              <w:bottom w:val="single" w:color="auto" w:sz="4" w:space="0"/>
              <w:right w:val="single" w:color="auto" w:sz="4" w:space="0"/>
            </w:tcBorders>
            <w:shd w:val="clear" w:color="auto" w:fill="auto"/>
            <w:vAlign w:val="center"/>
          </w:tcPr>
          <w:p w14:paraId="5AFAD14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1762" w:type="dxa"/>
            <w:tcBorders>
              <w:top w:val="nil"/>
              <w:left w:val="nil"/>
              <w:bottom w:val="single" w:color="auto" w:sz="4" w:space="0"/>
              <w:right w:val="single" w:color="auto" w:sz="4" w:space="0"/>
            </w:tcBorders>
            <w:shd w:val="clear" w:color="auto" w:fill="auto"/>
            <w:vAlign w:val="center"/>
          </w:tcPr>
          <w:p w14:paraId="633A624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洁净百级</w:t>
            </w:r>
          </w:p>
        </w:tc>
        <w:tc>
          <w:tcPr>
            <w:tcW w:w="2231" w:type="dxa"/>
            <w:tcBorders>
              <w:top w:val="nil"/>
              <w:left w:val="nil"/>
              <w:bottom w:val="single" w:color="auto" w:sz="4" w:space="0"/>
              <w:right w:val="single" w:color="auto" w:sz="4" w:space="0"/>
            </w:tcBorders>
            <w:shd w:val="clear" w:color="auto" w:fill="auto"/>
            <w:vAlign w:val="center"/>
          </w:tcPr>
          <w:p w14:paraId="51D962C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r>
      <w:tr w14:paraId="26B0D1FD">
        <w:tblPrEx>
          <w:tblCellMar>
            <w:top w:w="0" w:type="dxa"/>
            <w:left w:w="108" w:type="dxa"/>
            <w:bottom w:w="0" w:type="dxa"/>
            <w:right w:w="108" w:type="dxa"/>
          </w:tblCellMar>
        </w:tblPrEx>
        <w:trPr>
          <w:trHeight w:val="315" w:hRule="atLeast"/>
        </w:trPr>
        <w:tc>
          <w:tcPr>
            <w:tcW w:w="3932" w:type="dxa"/>
            <w:vMerge w:val="continue"/>
            <w:tcBorders>
              <w:top w:val="nil"/>
              <w:left w:val="single" w:color="auto" w:sz="4" w:space="0"/>
              <w:bottom w:val="single" w:color="auto" w:sz="4" w:space="0"/>
              <w:right w:val="single" w:color="auto" w:sz="4" w:space="0"/>
            </w:tcBorders>
            <w:vAlign w:val="center"/>
          </w:tcPr>
          <w:p w14:paraId="3979956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2353" w:type="dxa"/>
            <w:tcBorders>
              <w:top w:val="nil"/>
              <w:left w:val="nil"/>
              <w:bottom w:val="single" w:color="auto" w:sz="4" w:space="0"/>
              <w:right w:val="single" w:color="auto" w:sz="4" w:space="0"/>
            </w:tcBorders>
            <w:shd w:val="clear" w:color="auto" w:fill="auto"/>
            <w:vAlign w:val="center"/>
          </w:tcPr>
          <w:p w14:paraId="08657D2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100次</w:t>
            </w:r>
          </w:p>
        </w:tc>
        <w:tc>
          <w:tcPr>
            <w:tcW w:w="1762" w:type="dxa"/>
            <w:tcBorders>
              <w:top w:val="nil"/>
              <w:left w:val="nil"/>
              <w:bottom w:val="single" w:color="auto" w:sz="4" w:space="0"/>
              <w:right w:val="single" w:color="auto" w:sz="4" w:space="0"/>
            </w:tcBorders>
            <w:shd w:val="clear" w:color="auto" w:fill="auto"/>
            <w:vAlign w:val="center"/>
          </w:tcPr>
          <w:p w14:paraId="387E970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洁净万级</w:t>
            </w:r>
          </w:p>
        </w:tc>
        <w:tc>
          <w:tcPr>
            <w:tcW w:w="2231" w:type="dxa"/>
            <w:tcBorders>
              <w:top w:val="nil"/>
              <w:left w:val="nil"/>
              <w:bottom w:val="single" w:color="auto" w:sz="4" w:space="0"/>
              <w:right w:val="single" w:color="auto" w:sz="4" w:space="0"/>
            </w:tcBorders>
            <w:shd w:val="clear" w:color="auto" w:fill="auto"/>
            <w:vAlign w:val="center"/>
          </w:tcPr>
          <w:p w14:paraId="6B75F124">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r>
      <w:tr w14:paraId="31DE7CFC">
        <w:tblPrEx>
          <w:tblCellMar>
            <w:top w:w="0" w:type="dxa"/>
            <w:left w:w="108" w:type="dxa"/>
            <w:bottom w:w="0" w:type="dxa"/>
            <w:right w:w="108" w:type="dxa"/>
          </w:tblCellMar>
        </w:tblPrEx>
        <w:trPr>
          <w:trHeight w:val="2186" w:hRule="atLeast"/>
        </w:trPr>
        <w:tc>
          <w:tcPr>
            <w:tcW w:w="3932" w:type="dxa"/>
            <w:vMerge w:val="continue"/>
            <w:tcBorders>
              <w:top w:val="nil"/>
              <w:left w:val="single" w:color="auto" w:sz="4" w:space="0"/>
              <w:bottom w:val="single" w:color="auto" w:sz="4" w:space="0"/>
              <w:right w:val="single" w:color="auto" w:sz="4" w:space="0"/>
            </w:tcBorders>
            <w:vAlign w:val="center"/>
          </w:tcPr>
          <w:p w14:paraId="68749D91">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2353" w:type="dxa"/>
            <w:tcBorders>
              <w:top w:val="nil"/>
              <w:left w:val="nil"/>
              <w:bottom w:val="single" w:color="auto" w:sz="4" w:space="0"/>
              <w:right w:val="single" w:color="auto" w:sz="4" w:space="0"/>
            </w:tcBorders>
            <w:shd w:val="clear" w:color="auto" w:fill="auto"/>
            <w:vAlign w:val="center"/>
          </w:tcPr>
          <w:p w14:paraId="5CCDA88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30次</w:t>
            </w:r>
          </w:p>
        </w:tc>
        <w:tc>
          <w:tcPr>
            <w:tcW w:w="1762" w:type="dxa"/>
            <w:tcBorders>
              <w:top w:val="nil"/>
              <w:left w:val="nil"/>
              <w:bottom w:val="single" w:color="auto" w:sz="4" w:space="0"/>
              <w:right w:val="single" w:color="auto" w:sz="4" w:space="0"/>
            </w:tcBorders>
            <w:shd w:val="clear" w:color="auto" w:fill="auto"/>
            <w:vAlign w:val="center"/>
          </w:tcPr>
          <w:p w14:paraId="58C72F9D">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洁净十万级</w:t>
            </w:r>
          </w:p>
        </w:tc>
        <w:tc>
          <w:tcPr>
            <w:tcW w:w="2231" w:type="dxa"/>
            <w:tcBorders>
              <w:top w:val="nil"/>
              <w:left w:val="nil"/>
              <w:bottom w:val="single" w:color="auto" w:sz="4" w:space="0"/>
              <w:right w:val="single" w:color="auto" w:sz="4" w:space="0"/>
            </w:tcBorders>
            <w:shd w:val="clear" w:color="auto" w:fill="auto"/>
            <w:vAlign w:val="center"/>
          </w:tcPr>
          <w:p w14:paraId="6C7A7B71">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400</w:t>
            </w:r>
          </w:p>
        </w:tc>
      </w:tr>
      <w:tr w14:paraId="6DB67135">
        <w:tblPrEx>
          <w:tblCellMar>
            <w:top w:w="0" w:type="dxa"/>
            <w:left w:w="108" w:type="dxa"/>
            <w:bottom w:w="0" w:type="dxa"/>
            <w:right w:w="108" w:type="dxa"/>
          </w:tblCellMar>
        </w:tblPrEx>
        <w:trPr>
          <w:trHeight w:val="1351"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3F6DAEC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2353" w:type="dxa"/>
            <w:tcBorders>
              <w:top w:val="nil"/>
              <w:left w:val="nil"/>
              <w:bottom w:val="single" w:color="auto" w:sz="4" w:space="0"/>
              <w:right w:val="single" w:color="auto" w:sz="4" w:space="0"/>
            </w:tcBorders>
            <w:shd w:val="clear" w:color="auto" w:fill="auto"/>
            <w:vAlign w:val="center"/>
          </w:tcPr>
          <w:p w14:paraId="6DD7035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6CA76ABB">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1000</w:t>
            </w:r>
          </w:p>
        </w:tc>
      </w:tr>
      <w:tr w14:paraId="0650D375">
        <w:tblPrEx>
          <w:tblCellMar>
            <w:top w:w="0" w:type="dxa"/>
            <w:left w:w="108" w:type="dxa"/>
            <w:bottom w:w="0" w:type="dxa"/>
            <w:right w:w="108" w:type="dxa"/>
          </w:tblCellMar>
        </w:tblPrEx>
        <w:trPr>
          <w:trHeight w:val="1568"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0B21E00A">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2353" w:type="dxa"/>
            <w:tcBorders>
              <w:top w:val="nil"/>
              <w:left w:val="nil"/>
              <w:bottom w:val="single" w:color="auto" w:sz="4" w:space="0"/>
              <w:right w:val="single" w:color="auto" w:sz="4" w:space="0"/>
            </w:tcBorders>
            <w:shd w:val="clear" w:color="auto" w:fill="auto"/>
            <w:vAlign w:val="center"/>
          </w:tcPr>
          <w:p w14:paraId="2D9C94C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6B03A7F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600</w:t>
            </w:r>
          </w:p>
        </w:tc>
      </w:tr>
      <w:tr w14:paraId="2C44F9A8">
        <w:tblPrEx>
          <w:tblCellMar>
            <w:top w:w="0" w:type="dxa"/>
            <w:left w:w="108" w:type="dxa"/>
            <w:bottom w:w="0" w:type="dxa"/>
            <w:right w:w="108" w:type="dxa"/>
          </w:tblCellMar>
        </w:tblPrEx>
        <w:trPr>
          <w:trHeight w:val="1044" w:hRule="atLeast"/>
        </w:trPr>
        <w:tc>
          <w:tcPr>
            <w:tcW w:w="3932" w:type="dxa"/>
            <w:tcBorders>
              <w:top w:val="nil"/>
              <w:left w:val="single" w:color="auto" w:sz="4" w:space="0"/>
              <w:bottom w:val="single" w:color="auto" w:sz="4" w:space="0"/>
              <w:right w:val="single" w:color="auto" w:sz="4" w:space="0"/>
            </w:tcBorders>
            <w:shd w:val="clear" w:color="auto" w:fill="auto"/>
            <w:vAlign w:val="center"/>
          </w:tcPr>
          <w:p w14:paraId="65CCDFAE">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颗粒物、二氧化硫、林格曼黑度2次/年</w:t>
            </w:r>
          </w:p>
        </w:tc>
        <w:tc>
          <w:tcPr>
            <w:tcW w:w="2353" w:type="dxa"/>
            <w:tcBorders>
              <w:top w:val="nil"/>
              <w:left w:val="nil"/>
              <w:bottom w:val="single" w:color="auto" w:sz="4" w:space="0"/>
              <w:right w:val="single" w:color="auto" w:sz="4" w:space="0"/>
            </w:tcBorders>
            <w:shd w:val="clear" w:color="auto" w:fill="auto"/>
            <w:vAlign w:val="center"/>
          </w:tcPr>
          <w:p w14:paraId="7FAE0E8B">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8次</w:t>
            </w:r>
          </w:p>
        </w:tc>
        <w:tc>
          <w:tcPr>
            <w:tcW w:w="3993" w:type="dxa"/>
            <w:gridSpan w:val="2"/>
            <w:tcBorders>
              <w:top w:val="single" w:color="auto" w:sz="4" w:space="0"/>
              <w:left w:val="nil"/>
              <w:bottom w:val="single" w:color="auto" w:sz="4" w:space="0"/>
              <w:right w:val="single" w:color="auto" w:sz="4" w:space="0"/>
            </w:tcBorders>
            <w:shd w:val="clear" w:color="auto" w:fill="auto"/>
            <w:vAlign w:val="center"/>
          </w:tcPr>
          <w:p w14:paraId="5370DFC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2600</w:t>
            </w:r>
          </w:p>
        </w:tc>
      </w:tr>
    </w:tbl>
    <w:p w14:paraId="349D20B2">
      <w:pPr>
        <w:pStyle w:val="52"/>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1.技术规范性：需按照实验室相关操作技术规范执行：</w:t>
      </w:r>
    </w:p>
    <w:p w14:paraId="164FBB10">
      <w:pPr>
        <w:pStyle w:val="52"/>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洁净区域检测技术要求：①温度、湿度、压差(静压差) 、噪声、新风量、换气次数、最低照度、洁净度、风速均按照洁净室施工及验收规范(附录) GB 50591-2010要求。②细菌总数:医院洁净手术部建筑技术规范(13.3.18) GB 503332013。③具备实验室认可资质，且认可范围需涵盖生物安全柜校准项目。（2）生物安全柜、水平层流洁净台检测技术要求：生物安全柜检测、水平层流洁净台JG170-2005 YY0569-2005，具备规范的资质认定。</w:t>
      </w:r>
    </w:p>
    <w:p w14:paraId="10C933CE">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（3）废气检测技术要求：根据《锅炉大气污染物排放标准》进行检测。</w:t>
      </w:r>
    </w:p>
    <w:p w14:paraId="3C80BA29">
      <w:pPr>
        <w:pStyle w:val="52"/>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2.风险预警及应急响应能力（提供应急响应方案，检验检查结果异常应急预案）</w:t>
      </w:r>
    </w:p>
    <w:p w14:paraId="7559859E">
      <w:pPr>
        <w:pStyle w:val="52"/>
      </w:pPr>
      <w:r>
        <w:rPr>
          <w:rFonts w:hint="eastAsia"/>
        </w:rPr>
        <w:t>3.时间服务，能满足周一到周日（必要时节假日）无条件到医院进行检测。</w:t>
      </w:r>
    </w:p>
    <w:p w14:paraId="1DE91966">
      <w:pPr>
        <w:pStyle w:val="52"/>
        <w:rPr>
          <w:color w:val="000000" w:themeColor="text1"/>
          <w:kern w:val="0"/>
          <w14:textFill>
            <w14:solidFill>
              <w14:schemeClr w14:val="tx1"/>
            </w14:solidFill>
          </w14:textFill>
        </w:rPr>
      </w:pPr>
      <w:r>
        <w:rPr>
          <w:rFonts w:hint="eastAsia"/>
        </w:rPr>
        <w:t>4.</w:t>
      </w:r>
      <w:r>
        <w:rPr>
          <w:rFonts w:hint="eastAsia"/>
          <w:color w:val="000000" w:themeColor="text1"/>
          <w:kern w:val="0"/>
          <w14:textFill>
            <w14:solidFill>
              <w14:schemeClr w14:val="tx1"/>
            </w14:solidFill>
          </w14:textFill>
        </w:rPr>
        <w:t>检验检测质量保障：应有实验室室间质评管理规范并严格执行。</w:t>
      </w:r>
    </w:p>
    <w:p w14:paraId="5BA5796D">
      <w:pPr>
        <w:pStyle w:val="52"/>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5.</w:t>
      </w:r>
      <w:r>
        <w:rPr>
          <w:rFonts w:hint="eastAsia"/>
        </w:rPr>
        <w:t>数据管理服务，建立高效数据管理系统，做好检测数据收集、报告与管理。</w:t>
      </w:r>
    </w:p>
    <w:p w14:paraId="12C4795A">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kern w:val="0"/>
          <w14:textFill>
            <w14:solidFill>
              <w14:schemeClr w14:val="tx1"/>
            </w14:solidFill>
          </w14:textFill>
        </w:rPr>
        <w:t>能提供专业的检验检测结果解读的技术咨询</w:t>
      </w:r>
      <w:r>
        <w:rPr>
          <w:rFonts w:hint="eastAsia"/>
          <w:color w:val="000000" w:themeColor="text1"/>
          <w14:textFill>
            <w14:solidFill>
              <w14:schemeClr w14:val="tx1"/>
            </w14:solidFill>
          </w14:textFill>
        </w:rPr>
        <w:t>。</w:t>
      </w:r>
    </w:p>
    <w:p w14:paraId="33970C38">
      <w:pPr>
        <w:pStyle w:val="52"/>
      </w:pPr>
      <w:r>
        <w:rPr>
          <w:rFonts w:hint="eastAsia"/>
        </w:rPr>
        <w:t>7.本项目应遵循保密服务，未经医院授权，不能透露给第三方。</w:t>
      </w:r>
    </w:p>
    <w:p w14:paraId="07463703">
      <w:pPr>
        <w:pStyle w:val="52"/>
      </w:pPr>
      <w:r>
        <w:rPr>
          <w:rFonts w:hint="eastAsia"/>
        </w:rPr>
        <w:t>8.深度分析报告：在服务年度结束后，供应商应提供一份全面的《年度环境卫生学监测分析报告》。</w:t>
      </w:r>
    </w:p>
    <w:p w14:paraId="6B640E57">
      <w:pPr>
        <w:pStyle w:val="10"/>
        <w:ind w:firstLine="630" w:firstLineChars="300"/>
        <w:rPr>
          <w:rFonts w:hint="eastAsia"/>
        </w:rPr>
      </w:pPr>
      <w:r>
        <w:rPr>
          <w:rFonts w:hint="eastAsia"/>
        </w:rPr>
        <w:t>9.固定项目联系人。</w:t>
      </w:r>
    </w:p>
    <w:p w14:paraId="7018EC3F">
      <w:pPr>
        <w:pStyle w:val="5"/>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068EF64">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1.验收合格标准：</w:t>
      </w:r>
    </w:p>
    <w:p w14:paraId="121844CE">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（1）检测工作按科室约定时间完成；</w:t>
      </w:r>
    </w:p>
    <w:p w14:paraId="4D5B96EA">
      <w:pPr>
        <w:spacing w:line="360" w:lineRule="auto"/>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（2）提交的检测报告完整、规范，符合约定要求；</w:t>
      </w:r>
    </w:p>
    <w:p w14:paraId="455E8356">
      <w:pP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2.付款：采样按照科室要求完成、采购人收到供应商出具的发票并完善所有的付款手续之日起三个月内向供应商支付货款。</w:t>
      </w:r>
    </w:p>
    <w:p w14:paraId="41C92730">
      <w:pPr>
        <w:rPr>
          <w:rFonts w:hint="default" w:ascii="仿宋_GB2312" w:hAnsi="微软雅黑" w:eastAsiaTheme="minorEastAsia" w:cstheme="minorBidi"/>
          <w:color w:val="000000"/>
          <w:spacing w:val="2"/>
          <w:kern w:val="2"/>
          <w:sz w:val="21"/>
          <w:szCs w:val="26"/>
          <w:shd w:val="clear" w:color="auto" w:fill="FFFFFF"/>
          <w:lang w:val="en-US" w:eastAsia="zh-CN" w:bidi="zh-CN"/>
        </w:rPr>
      </w:pPr>
      <w:r>
        <w:rPr>
          <w:rFonts w:hint="eastAsia" w:ascii="仿宋_GB2312" w:hAnsi="微软雅黑" w:cstheme="minorBidi"/>
          <w:color w:val="000000"/>
          <w:spacing w:val="2"/>
          <w:kern w:val="2"/>
          <w:sz w:val="21"/>
          <w:szCs w:val="26"/>
          <w:shd w:val="clear" w:color="auto" w:fill="FFFFFF"/>
          <w:lang w:val="en-US" w:eastAsia="zh-CN" w:bidi="zh-CN"/>
        </w:rPr>
        <w:t>3.服务期三年。</w:t>
      </w:r>
    </w:p>
    <w:p w14:paraId="20B00812">
      <w:pPr>
        <w:pStyle w:val="20"/>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0"/>
        <w:ind w:firstLine="420" w:firstLineChars="200"/>
      </w:pPr>
      <w:r>
        <w:br w:type="page"/>
      </w:r>
    </w:p>
    <w:p w14:paraId="70A0421E">
      <w:pPr>
        <w:pStyle w:val="2"/>
        <w:numPr>
          <w:ilvl w:val="0"/>
          <w:numId w:val="19"/>
        </w:numPr>
        <w:ind w:left="402"/>
        <w:rPr>
          <w:rFonts w:hint="eastAsia"/>
        </w:rPr>
      </w:pPr>
      <w:r>
        <w:rPr>
          <w:rFonts w:hint="eastAsia"/>
        </w:rPr>
        <w:t>评分细则</w:t>
      </w:r>
    </w:p>
    <w:tbl>
      <w:tblPr>
        <w:tblStyle w:val="22"/>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5"/>
        <w:gridCol w:w="7668"/>
      </w:tblGrid>
      <w:tr w14:paraId="6CD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85" w:type="dxa"/>
            <w:vAlign w:val="center"/>
          </w:tcPr>
          <w:p w14:paraId="782F1094">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报价</w:t>
            </w:r>
          </w:p>
          <w:p w14:paraId="409BE35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w:t>
            </w:r>
          </w:p>
        </w:tc>
        <w:tc>
          <w:tcPr>
            <w:tcW w:w="785" w:type="dxa"/>
            <w:vAlign w:val="center"/>
          </w:tcPr>
          <w:p w14:paraId="376E72AD">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30分</w:t>
            </w:r>
          </w:p>
        </w:tc>
        <w:tc>
          <w:tcPr>
            <w:tcW w:w="7668" w:type="dxa"/>
            <w:vAlign w:val="center"/>
          </w:tcPr>
          <w:p w14:paraId="23323569">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综合评分法中的价格分统一采用低价优先法计算，即满足磋商文件要求且磋商报价最低的磋商报价为评审基准价，其价格分为满分。其他供应商的价格分统一按照下列公式计算：</w:t>
            </w:r>
          </w:p>
          <w:p w14:paraId="5837B976">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磋商报价得分=(磋商基准价／最后磋商报价)×100×价格权值</w:t>
            </w:r>
          </w:p>
        </w:tc>
      </w:tr>
      <w:tr w14:paraId="2FA9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85" w:type="dxa"/>
            <w:vAlign w:val="center"/>
          </w:tcPr>
          <w:p w14:paraId="6D096BCF">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服务要求</w:t>
            </w:r>
          </w:p>
          <w:p w14:paraId="1D79DEB6">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22%</w:t>
            </w:r>
          </w:p>
        </w:tc>
        <w:tc>
          <w:tcPr>
            <w:tcW w:w="785" w:type="dxa"/>
            <w:vAlign w:val="center"/>
          </w:tcPr>
          <w:p w14:paraId="67619EF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22分</w:t>
            </w:r>
          </w:p>
        </w:tc>
        <w:tc>
          <w:tcPr>
            <w:tcW w:w="7668" w:type="dxa"/>
            <w:vAlign w:val="center"/>
          </w:tcPr>
          <w:p w14:paraId="2C82C418">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投标人完全符合技术要求没有负偏离，进行综合评审：计划完善、科学合理且有针对性的实施措施，不存在凭空编造、逻辑漏洞以及不可能实现的夸大情形等情况得22分。共计9项</w:t>
            </w:r>
            <w:r>
              <w:rPr>
                <w:rFonts w:hint="eastAsia" w:ascii="仿宋_GB2312" w:hAnsi="微软雅黑" w:cstheme="minorBidi"/>
                <w:color w:val="000000"/>
                <w:spacing w:val="2"/>
                <w:kern w:val="2"/>
                <w:sz w:val="21"/>
                <w:szCs w:val="26"/>
                <w:shd w:val="clear" w:color="auto" w:fill="FFFFFF"/>
                <w:lang w:val="zh-TW" w:eastAsia="zh-CN" w:bidi="zh-CN"/>
              </w:rPr>
              <w:t>，</w:t>
            </w:r>
            <w:r>
              <w:rPr>
                <w:rFonts w:hint="eastAsia" w:ascii="仿宋_GB2312" w:hAnsi="微软雅黑" w:eastAsiaTheme="minorEastAsia" w:cstheme="minorBidi"/>
                <w:color w:val="000000"/>
                <w:spacing w:val="2"/>
                <w:kern w:val="2"/>
                <w:sz w:val="21"/>
                <w:szCs w:val="26"/>
                <w:shd w:val="clear" w:color="auto" w:fill="FFFFFF"/>
                <w:lang w:val="zh-TW" w:eastAsia="zh-CN" w:bidi="zh-CN"/>
              </w:rPr>
              <w:t>每项2.44分，每有一项有负偏离扣2.44分。</w:t>
            </w:r>
          </w:p>
        </w:tc>
      </w:tr>
      <w:tr w14:paraId="720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85" w:type="dxa"/>
            <w:vMerge w:val="restart"/>
            <w:vAlign w:val="center"/>
          </w:tcPr>
          <w:p w14:paraId="183706D8">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服务方案</w:t>
            </w:r>
          </w:p>
          <w:p w14:paraId="120E3D7A">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30%</w:t>
            </w:r>
          </w:p>
        </w:tc>
        <w:tc>
          <w:tcPr>
            <w:tcW w:w="785" w:type="dxa"/>
            <w:vAlign w:val="center"/>
          </w:tcPr>
          <w:p w14:paraId="2BFC7FE5">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实施方案</w:t>
            </w:r>
          </w:p>
          <w:p w14:paraId="47591CDB">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40B4C57D">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磋商小组根据供应商针对本项目提供的实施方案（包括但不限于①项目前期准备；②项目实施措施；③工作进度；④管理流程；⑤安全保障等）进行综合评审：方案完善、科学合理且具有针对性的实施措施，</w:t>
            </w:r>
            <w:bookmarkStart w:id="10" w:name="OLE_LINK1"/>
            <w:bookmarkStart w:id="11" w:name="OLE_LINK2"/>
            <w:r>
              <w:rPr>
                <w:rFonts w:hint="eastAsia" w:ascii="仿宋_GB2312" w:hAnsi="微软雅黑" w:eastAsiaTheme="minorEastAsia" w:cstheme="minorBidi"/>
                <w:color w:val="000000"/>
                <w:spacing w:val="2"/>
                <w:kern w:val="2"/>
                <w:sz w:val="21"/>
                <w:szCs w:val="26"/>
                <w:shd w:val="clear" w:color="auto" w:fill="FFFFFF"/>
                <w:lang w:val="zh-TW" w:eastAsia="zh-CN" w:bidi="zh-CN"/>
              </w:rPr>
              <w:t>不存在凭空编造、逻辑漏洞以及不可能实现的夸大情形等情况的得10分，每有一项描述不完善、存在缺陷、实施措施不具备针对性或未提供扣4分，扣完为止</w:t>
            </w:r>
            <w:bookmarkEnd w:id="10"/>
            <w:bookmarkEnd w:id="11"/>
            <w:r>
              <w:rPr>
                <w:rFonts w:hint="eastAsia" w:ascii="仿宋_GB2312" w:hAnsi="微软雅黑" w:eastAsiaTheme="minorEastAsia" w:cstheme="minorBidi"/>
                <w:color w:val="000000"/>
                <w:spacing w:val="2"/>
                <w:kern w:val="2"/>
                <w:sz w:val="21"/>
                <w:szCs w:val="26"/>
                <w:shd w:val="clear" w:color="auto" w:fill="FFFFFF"/>
                <w:lang w:val="zh-TW" w:eastAsia="zh-CN" w:bidi="zh-CN"/>
              </w:rPr>
              <w:t>。</w:t>
            </w:r>
          </w:p>
        </w:tc>
      </w:tr>
      <w:tr w14:paraId="3AB6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5" w:type="dxa"/>
            <w:vMerge w:val="continue"/>
            <w:vAlign w:val="center"/>
          </w:tcPr>
          <w:p w14:paraId="66351E17">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vAlign w:val="center"/>
          </w:tcPr>
          <w:p w14:paraId="1ED04049">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质量控制措施</w:t>
            </w:r>
          </w:p>
          <w:p w14:paraId="363EE186">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255EA394">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的质量控制措施（包括但不限于：①采样、样品保存和流转；②物资管理和设备校准；③分析质控措施和报告审核等）按照项目特性进行综合评审：方案完善、科学合理且有利于项目实施，不存在凭空编造、逻辑漏洞以及不可能实现的夸大情形等情况的得10分，每有一项描述不完善、存在缺陷、实施措施不具备针对性或未提供扣3分，扣完为止。</w:t>
            </w:r>
          </w:p>
        </w:tc>
      </w:tr>
      <w:tr w14:paraId="3B7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85" w:type="dxa"/>
            <w:vMerge w:val="continue"/>
            <w:vAlign w:val="center"/>
          </w:tcPr>
          <w:p w14:paraId="79DD90E3">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vAlign w:val="center"/>
          </w:tcPr>
          <w:p w14:paraId="440C47B4">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采样及运输方案</w:t>
            </w:r>
          </w:p>
          <w:p w14:paraId="2627AC51">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vAlign w:val="center"/>
          </w:tcPr>
          <w:p w14:paraId="5B0A76CA">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磋商小组根据供应商针对本项目的采样及运输方案（包括但不限于：①采样流程；②保存条件及运输要求，③采样时效性）。按照项目特性进行综合评审：方案完善、科学合理且有利于项目实施，不存在凭空编造、逻辑漏洞以及不可能实现的夸大情形等情况的得10分，每有一项描述不完善、存在缺陷、实施措施不具备针对性或未提供扣3分，扣完为止。</w:t>
            </w:r>
          </w:p>
        </w:tc>
      </w:tr>
      <w:tr w14:paraId="7C56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33D50E0">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人员配置</w:t>
            </w:r>
          </w:p>
          <w:p w14:paraId="0254633E">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w:t>
            </w:r>
          </w:p>
        </w:tc>
        <w:tc>
          <w:tcPr>
            <w:tcW w:w="785" w:type="dxa"/>
            <w:tcBorders>
              <w:top w:val="single" w:color="auto" w:sz="4" w:space="0"/>
              <w:left w:val="single" w:color="auto" w:sz="4" w:space="0"/>
              <w:bottom w:val="single" w:color="auto" w:sz="4" w:space="0"/>
              <w:right w:val="single" w:color="auto" w:sz="4" w:space="0"/>
            </w:tcBorders>
            <w:vAlign w:val="center"/>
          </w:tcPr>
          <w:p w14:paraId="7A6FE809">
            <w:pPr>
              <w:widowControl/>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10分</w:t>
            </w:r>
          </w:p>
        </w:tc>
        <w:tc>
          <w:tcPr>
            <w:tcW w:w="7668" w:type="dxa"/>
            <w:tcBorders>
              <w:top w:val="single" w:color="auto" w:sz="4" w:space="0"/>
              <w:left w:val="single" w:color="auto" w:sz="4" w:space="0"/>
              <w:bottom w:val="single" w:color="auto" w:sz="4" w:space="0"/>
              <w:right w:val="single" w:color="auto" w:sz="4" w:space="0"/>
            </w:tcBorders>
            <w:vAlign w:val="center"/>
          </w:tcPr>
          <w:p w14:paraId="3225890C">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1、拟派项目技术负责人具备高级职称的得2分；具备中级职称的得1分；此项最多得2分。</w:t>
            </w:r>
          </w:p>
          <w:p w14:paraId="650771CA">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2、供应商拟投入本项目人员（除项目技术负责人）具备高级职称的，每有1人得1分，具备中级职称的，每有1人得0.5分。此项最多得3分。</w:t>
            </w:r>
          </w:p>
          <w:p w14:paraId="69A549D1">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3、配备符合条件的现场采样组（符合条件为具有足够空间及车辆、采样人员、现场检测仪条件），提供证明材料（照片）得2分。</w:t>
            </w:r>
          </w:p>
          <w:p w14:paraId="050DC54D">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注：提供相关人员的相关证书复印件。</w:t>
            </w:r>
          </w:p>
        </w:tc>
      </w:tr>
      <w:tr w14:paraId="0F1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5" w:type="dxa"/>
            <w:vMerge w:val="restart"/>
            <w:tcBorders>
              <w:top w:val="single" w:color="auto" w:sz="4" w:space="0"/>
              <w:left w:val="single" w:color="auto" w:sz="4" w:space="0"/>
              <w:bottom w:val="single" w:color="auto" w:sz="4" w:space="0"/>
              <w:right w:val="single" w:color="auto" w:sz="4" w:space="0"/>
            </w:tcBorders>
            <w:vAlign w:val="center"/>
          </w:tcPr>
          <w:p w14:paraId="26AE60CF">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履约能力</w:t>
            </w:r>
          </w:p>
          <w:p w14:paraId="0AC4A711">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8%</w:t>
            </w:r>
          </w:p>
        </w:tc>
        <w:tc>
          <w:tcPr>
            <w:tcW w:w="785" w:type="dxa"/>
            <w:tcBorders>
              <w:top w:val="single" w:color="auto" w:sz="4" w:space="0"/>
              <w:left w:val="single" w:color="auto" w:sz="4" w:space="0"/>
              <w:bottom w:val="single" w:color="auto" w:sz="4" w:space="0"/>
              <w:right w:val="single" w:color="auto" w:sz="4" w:space="0"/>
            </w:tcBorders>
            <w:vAlign w:val="center"/>
          </w:tcPr>
          <w:p w14:paraId="3549DDB1">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6分</w:t>
            </w:r>
          </w:p>
        </w:tc>
        <w:tc>
          <w:tcPr>
            <w:tcW w:w="7668" w:type="dxa"/>
            <w:tcBorders>
              <w:top w:val="single" w:color="auto" w:sz="4" w:space="0"/>
              <w:left w:val="single" w:color="auto" w:sz="4" w:space="0"/>
              <w:bottom w:val="single" w:color="auto" w:sz="4" w:space="0"/>
              <w:right w:val="single" w:color="auto" w:sz="4" w:space="0"/>
            </w:tcBorders>
            <w:vAlign w:val="center"/>
          </w:tcPr>
          <w:p w14:paraId="6DCA90B6">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具有本项目所需主要分析设备，并提供实验室检测设备清单，有得6分，无不得分。</w:t>
            </w:r>
          </w:p>
        </w:tc>
      </w:tr>
      <w:tr w14:paraId="3E6F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5" w:type="dxa"/>
            <w:vMerge w:val="continue"/>
            <w:tcBorders>
              <w:top w:val="single" w:color="auto" w:sz="4" w:space="0"/>
              <w:left w:val="single" w:color="auto" w:sz="4" w:space="0"/>
              <w:bottom w:val="single" w:color="auto" w:sz="4" w:space="0"/>
              <w:right w:val="single" w:color="auto" w:sz="4" w:space="0"/>
            </w:tcBorders>
            <w:vAlign w:val="center"/>
          </w:tcPr>
          <w:p w14:paraId="210415C9">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p>
        </w:tc>
        <w:tc>
          <w:tcPr>
            <w:tcW w:w="785" w:type="dxa"/>
            <w:tcBorders>
              <w:top w:val="single" w:color="auto" w:sz="4" w:space="0"/>
              <w:left w:val="single" w:color="auto" w:sz="4" w:space="0"/>
              <w:bottom w:val="single" w:color="auto" w:sz="4" w:space="0"/>
              <w:right w:val="single" w:color="auto" w:sz="4" w:space="0"/>
            </w:tcBorders>
            <w:vAlign w:val="center"/>
          </w:tcPr>
          <w:p w14:paraId="34C48734">
            <w:pPr>
              <w:widowControl/>
              <w:wordWrap w:val="0"/>
              <w:jc w:val="center"/>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2分</w:t>
            </w:r>
          </w:p>
        </w:tc>
        <w:tc>
          <w:tcPr>
            <w:tcW w:w="7668" w:type="dxa"/>
            <w:tcBorders>
              <w:top w:val="single" w:color="auto" w:sz="4" w:space="0"/>
              <w:left w:val="single" w:color="auto" w:sz="4" w:space="0"/>
              <w:bottom w:val="single" w:color="auto" w:sz="4" w:space="0"/>
              <w:right w:val="single" w:color="auto" w:sz="4" w:space="0"/>
            </w:tcBorders>
            <w:vAlign w:val="center"/>
          </w:tcPr>
          <w:p w14:paraId="72839ECB">
            <w:pPr>
              <w:widowControl/>
              <w:jc w:val="left"/>
              <w:rPr>
                <w:rFonts w:hint="eastAsia" w:ascii="仿宋_GB2312" w:hAnsi="微软雅黑" w:eastAsiaTheme="minorEastAsia" w:cstheme="minorBidi"/>
                <w:color w:val="000000"/>
                <w:spacing w:val="2"/>
                <w:kern w:val="2"/>
                <w:sz w:val="21"/>
                <w:szCs w:val="26"/>
                <w:shd w:val="clear" w:color="auto" w:fill="FFFFFF"/>
                <w:lang w:val="zh-TW" w:eastAsia="zh-CN" w:bidi="zh-CN"/>
              </w:rPr>
            </w:pPr>
            <w:r>
              <w:rPr>
                <w:rFonts w:hint="eastAsia" w:ascii="仿宋_GB2312" w:hAnsi="微软雅黑" w:eastAsiaTheme="minorEastAsia" w:cstheme="minorBidi"/>
                <w:color w:val="000000"/>
                <w:spacing w:val="2"/>
                <w:kern w:val="2"/>
                <w:sz w:val="21"/>
                <w:szCs w:val="26"/>
                <w:shd w:val="clear" w:color="auto" w:fill="FFFFFF"/>
                <w:lang w:val="zh-TW" w:eastAsia="zh-CN" w:bidi="zh-CN"/>
              </w:rPr>
              <w:t>供应商自有类似项目业绩，提供一个得2分，满分2分。</w:t>
            </w:r>
            <w:r>
              <w:rPr>
                <w:rFonts w:hint="eastAsia" w:ascii="仿宋_GB2312" w:hAnsi="微软雅黑" w:eastAsiaTheme="minorEastAsia" w:cstheme="minorBidi"/>
                <w:color w:val="000000"/>
                <w:spacing w:val="2"/>
                <w:kern w:val="2"/>
                <w:sz w:val="21"/>
                <w:szCs w:val="26"/>
                <w:shd w:val="clear" w:color="auto" w:fill="FFFFFF"/>
                <w:lang w:val="zh-TW" w:eastAsia="zh-CN" w:bidi="zh-CN"/>
              </w:rPr>
              <w:br w:type="textWrapping"/>
            </w:r>
            <w:r>
              <w:rPr>
                <w:rFonts w:hint="eastAsia" w:ascii="仿宋_GB2312" w:hAnsi="微软雅黑" w:eastAsiaTheme="minorEastAsia" w:cstheme="minorBidi"/>
                <w:color w:val="000000"/>
                <w:spacing w:val="2"/>
                <w:kern w:val="2"/>
                <w:sz w:val="21"/>
                <w:szCs w:val="26"/>
                <w:shd w:val="clear" w:color="auto" w:fill="FFFFFF"/>
                <w:lang w:val="zh-TW" w:eastAsia="zh-CN" w:bidi="zh-CN"/>
              </w:rPr>
              <w:t>注：提供中标（成交）通知书或合同复印件并加盖供应商鲜章。</w:t>
            </w:r>
          </w:p>
        </w:tc>
      </w:tr>
    </w:tbl>
    <w:p w14:paraId="2C31D296">
      <w:pPr>
        <w:rPr>
          <w:rFonts w:hint="eastAsia"/>
        </w:rPr>
      </w:pPr>
    </w:p>
    <w:p w14:paraId="087DA9F2">
      <w:pPr>
        <w:pStyle w:val="10"/>
        <w:rPr>
          <w:rFonts w:hint="eastAsia"/>
        </w:rPr>
      </w:pPr>
    </w:p>
    <w:p w14:paraId="252BC2BD">
      <w:pPr>
        <w:rPr>
          <w:rFonts w:hint="eastAsia"/>
        </w:rPr>
      </w:pPr>
    </w:p>
    <w:p w14:paraId="6802AE5C">
      <w:pPr>
        <w:pStyle w:val="2"/>
        <w:numPr>
          <w:ilvl w:val="0"/>
          <w:numId w:val="0"/>
        </w:numPr>
        <w:jc w:val="both"/>
        <w:rPr>
          <w:rFonts w:hint="eastAsia"/>
        </w:rPr>
      </w:pPr>
      <w:bookmarkStart w:id="12" w:name="_Toc5913"/>
      <w:bookmarkStart w:id="13" w:name="_Toc4960"/>
      <w:bookmarkStart w:id="14" w:name="_Toc29819"/>
    </w:p>
    <w:p w14:paraId="4A63B933">
      <w:pPr>
        <w:pStyle w:val="2"/>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2"/>
      <w:bookmarkEnd w:id="13"/>
      <w:bookmarkEnd w:id="14"/>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5" w:name="_Toc30609"/>
      <w:bookmarkStart w:id="16" w:name="_Toc9428"/>
      <w:bookmarkStart w:id="17" w:name="_Toc19851"/>
      <w:r>
        <w:rPr>
          <w:rFonts w:hint="eastAsia" w:ascii="仿宋" w:hAnsi="仿宋" w:eastAsia="仿宋" w:cs="仿宋"/>
          <w:sz w:val="24"/>
          <w:szCs w:val="24"/>
        </w:rPr>
        <w:t>项目名称：</w:t>
      </w:r>
      <w:bookmarkEnd w:id="15"/>
      <w:bookmarkEnd w:id="16"/>
      <w:bookmarkEnd w:id="17"/>
    </w:p>
    <w:p w14:paraId="09C74AF7">
      <w:pPr>
        <w:jc w:val="left"/>
        <w:rPr>
          <w:rFonts w:ascii="仿宋" w:hAnsi="仿宋" w:eastAsia="仿宋" w:cs="仿宋"/>
          <w:sz w:val="24"/>
          <w:szCs w:val="24"/>
        </w:rPr>
      </w:pPr>
      <w:bookmarkStart w:id="18" w:name="_Toc32352"/>
      <w:bookmarkStart w:id="19" w:name="_Toc1544"/>
      <w:bookmarkStart w:id="20"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21" w:name="_Toc24097"/>
      <w:bookmarkStart w:id="22" w:name="_Toc21472"/>
    </w:p>
    <w:bookmarkEnd w:id="21"/>
    <w:bookmarkEnd w:id="22"/>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3" w:name="_Toc1690"/>
      <w:bookmarkStart w:id="24" w:name="_Toc17163"/>
      <w:bookmarkStart w:id="25" w:name="_Toc24859"/>
      <w:bookmarkStart w:id="26" w:name="_Toc32749"/>
      <w:r>
        <w:rPr>
          <w:rFonts w:hint="eastAsia" w:ascii="仿宋" w:hAnsi="仿宋" w:eastAsia="仿宋" w:cs="仿宋"/>
          <w:sz w:val="28"/>
          <w:szCs w:val="24"/>
        </w:rPr>
        <w:t>供应商名称（公章）：</w:t>
      </w:r>
      <w:bookmarkEnd w:id="23"/>
      <w:bookmarkEnd w:id="24"/>
      <w:bookmarkEnd w:id="25"/>
      <w:bookmarkEnd w:id="26"/>
    </w:p>
    <w:p w14:paraId="396DC5DF">
      <w:pPr>
        <w:jc w:val="left"/>
        <w:rPr>
          <w:rFonts w:ascii="仿宋" w:hAnsi="仿宋" w:eastAsia="仿宋" w:cs="仿宋"/>
          <w:sz w:val="28"/>
          <w:szCs w:val="24"/>
        </w:rPr>
      </w:pPr>
      <w:bookmarkStart w:id="27" w:name="_Toc17905"/>
      <w:bookmarkStart w:id="28" w:name="_Toc3558"/>
      <w:bookmarkStart w:id="29" w:name="_Toc24123"/>
      <w:bookmarkStart w:id="30" w:name="_Toc6803"/>
      <w:r>
        <w:rPr>
          <w:rFonts w:hint="eastAsia" w:ascii="仿宋" w:hAnsi="仿宋" w:eastAsia="仿宋" w:cs="仿宋"/>
          <w:sz w:val="28"/>
          <w:szCs w:val="24"/>
        </w:rPr>
        <w:t>法定代表人或授权代理人（签字）：</w:t>
      </w:r>
      <w:bookmarkEnd w:id="27"/>
      <w:bookmarkEnd w:id="28"/>
      <w:bookmarkEnd w:id="29"/>
      <w:bookmarkEnd w:id="30"/>
    </w:p>
    <w:p w14:paraId="598B7326">
      <w:pPr>
        <w:jc w:val="left"/>
        <w:rPr>
          <w:rFonts w:ascii="仿宋" w:hAnsi="仿宋" w:eastAsia="仿宋" w:cs="仿宋"/>
          <w:sz w:val="28"/>
          <w:szCs w:val="24"/>
        </w:rPr>
      </w:pPr>
      <w:bookmarkStart w:id="31" w:name="_Toc27135"/>
      <w:bookmarkStart w:id="32" w:name="_Toc27526"/>
      <w:bookmarkStart w:id="33" w:name="_Toc2989"/>
      <w:bookmarkStart w:id="34" w:name="_Toc5996"/>
      <w:r>
        <w:rPr>
          <w:rFonts w:hint="eastAsia" w:ascii="仿宋" w:hAnsi="仿宋" w:eastAsia="仿宋" w:cs="仿宋"/>
          <w:sz w:val="28"/>
          <w:szCs w:val="24"/>
        </w:rPr>
        <w:t>联系方式（移动电话）：</w:t>
      </w:r>
      <w:bookmarkEnd w:id="31"/>
      <w:bookmarkEnd w:id="32"/>
      <w:bookmarkEnd w:id="33"/>
      <w:bookmarkEnd w:id="34"/>
    </w:p>
    <w:p w14:paraId="43A623A5">
      <w:pPr>
        <w:jc w:val="left"/>
        <w:rPr>
          <w:rFonts w:ascii="仿宋" w:hAnsi="仿宋" w:eastAsia="仿宋" w:cs="仿宋"/>
          <w:sz w:val="28"/>
          <w:szCs w:val="24"/>
        </w:rPr>
      </w:pPr>
      <w:bookmarkStart w:id="35" w:name="_Toc7233"/>
      <w:bookmarkStart w:id="36" w:name="_Toc19987"/>
      <w:bookmarkStart w:id="37" w:name="_Toc5056"/>
      <w:bookmarkStart w:id="38" w:name="_Toc2031"/>
      <w:r>
        <w:rPr>
          <w:rFonts w:hint="eastAsia" w:ascii="仿宋" w:hAnsi="仿宋" w:eastAsia="仿宋" w:cs="仿宋"/>
          <w:sz w:val="28"/>
          <w:szCs w:val="24"/>
        </w:rPr>
        <w:t>日期：     年    月     日</w:t>
      </w:r>
      <w:bookmarkEnd w:id="35"/>
      <w:bookmarkEnd w:id="36"/>
      <w:bookmarkEnd w:id="37"/>
      <w:bookmarkEnd w:id="38"/>
    </w:p>
    <w:p w14:paraId="5C0A76E7">
      <w:pPr>
        <w:jc w:val="center"/>
        <w:rPr>
          <w:rFonts w:ascii="仿宋" w:hAnsi="仿宋" w:eastAsia="仿宋" w:cs="仿宋"/>
          <w:sz w:val="32"/>
          <w:szCs w:val="40"/>
        </w:rPr>
      </w:pPr>
      <w:bookmarkStart w:id="39" w:name="_Toc11352"/>
      <w:bookmarkStart w:id="40" w:name="_Toc21519"/>
      <w:bookmarkStart w:id="41" w:name="_Toc14829"/>
      <w:bookmarkStart w:id="42" w:name="_Toc6482"/>
      <w:bookmarkStart w:id="43" w:name="_Toc16029"/>
      <w:bookmarkStart w:id="44" w:name="_Toc3023"/>
    </w:p>
    <w:p w14:paraId="4512E9B2">
      <w:pPr>
        <w:rPr>
          <w:rStyle w:val="36"/>
          <w:rFonts w:ascii="仿宋" w:hAnsi="仿宋" w:eastAsia="仿宋" w:cs="仿宋"/>
          <w:b/>
          <w:bCs/>
          <w:sz w:val="32"/>
          <w:szCs w:val="28"/>
        </w:rPr>
      </w:pPr>
      <w:r>
        <w:rPr>
          <w:rStyle w:val="36"/>
          <w:rFonts w:hint="eastAsia" w:ascii="仿宋" w:hAnsi="仿宋" w:eastAsia="仿宋" w:cs="仿宋"/>
          <w:b/>
          <w:bCs/>
          <w:sz w:val="32"/>
          <w:szCs w:val="28"/>
        </w:rPr>
        <w:br w:type="page"/>
      </w:r>
    </w:p>
    <w:bookmarkEnd w:id="39"/>
    <w:bookmarkEnd w:id="40"/>
    <w:bookmarkEnd w:id="41"/>
    <w:bookmarkEnd w:id="42"/>
    <w:bookmarkEnd w:id="43"/>
    <w:bookmarkEnd w:id="44"/>
    <w:p w14:paraId="1B7C2E1E">
      <w:pPr>
        <w:pStyle w:val="3"/>
        <w:ind w:firstLine="0"/>
      </w:pPr>
      <w:bookmarkStart w:id="45" w:name="_Toc31838"/>
      <w:bookmarkStart w:id="46" w:name="_Toc30971"/>
      <w:bookmarkStart w:id="47" w:name="_Toc17857"/>
      <w:bookmarkStart w:id="48" w:name="_Toc4305"/>
      <w:bookmarkStart w:id="49" w:name="_Toc22676"/>
      <w:r>
        <w:rPr>
          <w:rFonts w:hint="eastAsia"/>
        </w:rPr>
        <w:t>承诺函</w:t>
      </w:r>
    </w:p>
    <w:p w14:paraId="032CC9B3">
      <w:pPr>
        <w:pStyle w:val="10"/>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0"/>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0"/>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3"/>
        <w:ind w:left="-1" w:firstLine="0"/>
      </w:pPr>
      <w:r>
        <w:rPr>
          <w:rFonts w:hint="eastAsia"/>
        </w:rPr>
        <w:t>具有独立承担民事责任的能力</w:t>
      </w:r>
      <w:bookmarkEnd w:id="45"/>
      <w:bookmarkEnd w:id="46"/>
      <w:bookmarkEnd w:id="47"/>
      <w:bookmarkEnd w:id="48"/>
      <w:bookmarkEnd w:id="49"/>
    </w:p>
    <w:p w14:paraId="074FEAEC">
      <w:pPr>
        <w:pStyle w:val="10"/>
        <w:jc w:val="center"/>
        <w:rPr>
          <w:rFonts w:ascii="仿宋" w:hAnsi="仿宋" w:eastAsia="仿宋" w:cs="仿宋"/>
          <w:b/>
          <w:bCs/>
        </w:rPr>
      </w:pPr>
    </w:p>
    <w:p w14:paraId="7A1AF603">
      <w:pPr>
        <w:jc w:val="center"/>
        <w:rPr>
          <w:rStyle w:val="36"/>
          <w:rFonts w:ascii="仿宋" w:hAnsi="仿宋" w:eastAsia="仿宋" w:cs="仿宋"/>
          <w:sz w:val="32"/>
          <w:szCs w:val="28"/>
        </w:rPr>
      </w:pPr>
      <w:r>
        <w:rPr>
          <w:rFonts w:hint="eastAsia" w:ascii="仿宋" w:hAnsi="仿宋" w:eastAsia="仿宋" w:cs="仿宋"/>
          <w:sz w:val="32"/>
          <w:szCs w:val="36"/>
        </w:rPr>
        <w:t>（按第三章要求提供）</w:t>
      </w:r>
    </w:p>
    <w:p w14:paraId="7FF5B302">
      <w:pPr>
        <w:pStyle w:val="3"/>
        <w:ind w:firstLine="0"/>
        <w:rPr>
          <w:rStyle w:val="36"/>
          <w:rFonts w:ascii="仿宋" w:hAnsi="仿宋" w:cs="仿宋"/>
          <w:szCs w:val="28"/>
        </w:rPr>
      </w:pPr>
      <w:r>
        <w:rPr>
          <w:rFonts w:hint="eastAsia" w:ascii="仿宋" w:hAnsi="仿宋" w:cs="仿宋"/>
          <w:bCs/>
        </w:rPr>
        <w:br w:type="page"/>
      </w:r>
      <w:bookmarkStart w:id="50" w:name="_Toc27186"/>
      <w:bookmarkStart w:id="51" w:name="_Toc15613"/>
      <w:bookmarkStart w:id="52"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13904"/>
      <w:bookmarkStart w:id="54" w:name="_Toc25357"/>
      <w:bookmarkStart w:id="55" w:name="_Toc13706"/>
    </w:p>
    <w:p w14:paraId="17310EC5">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69919F45">
      <w:pPr>
        <w:pStyle w:val="10"/>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7"/>
        <w:ind w:left="420" w:leftChars="200"/>
        <w:jc w:val="both"/>
        <w:rPr>
          <w:rFonts w:ascii="仿宋" w:hAnsi="仿宋" w:eastAsia="仿宋" w:cs="仿宋"/>
          <w:color w:val="auto"/>
        </w:rPr>
      </w:pPr>
    </w:p>
    <w:p w14:paraId="5830257C">
      <w:pPr>
        <w:pStyle w:val="27"/>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3"/>
        <w:ind w:firstLine="0"/>
        <w:rPr>
          <w:rFonts w:ascii="仿宋" w:hAnsi="仿宋" w:cs="仿宋"/>
          <w:szCs w:val="32"/>
        </w:rPr>
      </w:pPr>
      <w:r>
        <w:rPr>
          <w:rFonts w:hint="eastAsia" w:ascii="仿宋" w:hAnsi="仿宋" w:cs="仿宋"/>
          <w:szCs w:val="32"/>
        </w:rPr>
        <w:br w:type="page"/>
      </w:r>
      <w:bookmarkStart w:id="58" w:name="_Toc27661"/>
      <w:bookmarkStart w:id="59" w:name="_Toc11351"/>
      <w:bookmarkStart w:id="60" w:name="_Toc15526"/>
      <w:bookmarkStart w:id="61" w:name="_Toc12015"/>
      <w:bookmarkStart w:id="62" w:name="_Toc25638"/>
      <w:bookmarkStart w:id="63" w:name="_Toc20589"/>
      <w:r>
        <w:rPr>
          <w:rStyle w:val="44"/>
          <w:rFonts w:hint="eastAsia"/>
          <w:b/>
        </w:rPr>
        <w:t>法定代表人身份证明书</w:t>
      </w:r>
      <w:bookmarkEnd w:id="58"/>
      <w:bookmarkEnd w:id="59"/>
      <w:bookmarkEnd w:id="60"/>
      <w:bookmarkEnd w:id="61"/>
      <w:bookmarkEnd w:id="62"/>
      <w:bookmarkEnd w:id="63"/>
    </w:p>
    <w:p w14:paraId="05D40DCC">
      <w:pPr>
        <w:pStyle w:val="27"/>
        <w:jc w:val="center"/>
        <w:rPr>
          <w:rFonts w:ascii="仿宋" w:hAnsi="仿宋" w:eastAsia="仿宋" w:cs="仿宋"/>
          <w:color w:val="auto"/>
        </w:rPr>
      </w:pPr>
    </w:p>
    <w:p w14:paraId="3B82AC88">
      <w:pPr>
        <w:pStyle w:val="2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7"/>
        <w:jc w:val="center"/>
        <w:rPr>
          <w:rFonts w:ascii="仿宋" w:hAnsi="仿宋" w:eastAsia="仿宋" w:cs="仿宋"/>
          <w:color w:val="auto"/>
        </w:rPr>
      </w:pPr>
    </w:p>
    <w:p w14:paraId="03AFA725">
      <w:pPr>
        <w:pStyle w:val="27"/>
        <w:jc w:val="center"/>
        <w:rPr>
          <w:rFonts w:ascii="仿宋" w:hAnsi="仿宋" w:eastAsia="仿宋" w:cs="仿宋"/>
          <w:color w:val="auto"/>
        </w:rPr>
      </w:pPr>
    </w:p>
    <w:p w14:paraId="36D1FFBF">
      <w:pPr>
        <w:pStyle w:val="27"/>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7"/>
        <w:rPr>
          <w:rFonts w:ascii="仿宋" w:hAnsi="仿宋" w:eastAsia="仿宋" w:cs="仿宋"/>
          <w:color w:val="auto"/>
        </w:rPr>
      </w:pPr>
      <w:r>
        <w:rPr>
          <w:rFonts w:hint="eastAsia" w:ascii="仿宋" w:hAnsi="仿宋" w:eastAsia="仿宋" w:cs="仿宋"/>
          <w:color w:val="auto"/>
        </w:rPr>
        <w:t>特此证明。</w:t>
      </w:r>
    </w:p>
    <w:p w14:paraId="7F6D5CB9">
      <w:pPr>
        <w:pStyle w:val="27"/>
        <w:jc w:val="both"/>
        <w:rPr>
          <w:rFonts w:ascii="仿宋" w:hAnsi="仿宋" w:eastAsia="仿宋" w:cs="仿宋"/>
          <w:color w:val="auto"/>
        </w:rPr>
      </w:pPr>
    </w:p>
    <w:p w14:paraId="195A478C">
      <w:pPr>
        <w:pStyle w:val="27"/>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0"/>
        <w:jc w:val="left"/>
        <w:rPr>
          <w:rFonts w:ascii="仿宋" w:hAnsi="仿宋" w:eastAsia="仿宋" w:cs="仿宋"/>
          <w:sz w:val="24"/>
        </w:rPr>
      </w:pPr>
      <w:r>
        <w:rPr>
          <w:rFonts w:hint="eastAsia" w:ascii="仿宋" w:hAnsi="仿宋" w:eastAsia="仿宋" w:cs="仿宋"/>
          <w:bCs/>
          <w:sz w:val="24"/>
        </w:rPr>
        <w:t>时间：</w:t>
      </w:r>
    </w:p>
    <w:p w14:paraId="7E63ADEF">
      <w:pPr>
        <w:pStyle w:val="27"/>
        <w:jc w:val="center"/>
        <w:rPr>
          <w:rFonts w:ascii="仿宋" w:hAnsi="仿宋" w:eastAsia="仿宋" w:cs="仿宋"/>
          <w:color w:val="auto"/>
        </w:rPr>
      </w:pPr>
    </w:p>
    <w:p w14:paraId="00C39A75">
      <w:pPr>
        <w:pStyle w:val="27"/>
        <w:jc w:val="center"/>
        <w:rPr>
          <w:rFonts w:ascii="仿宋" w:hAnsi="仿宋" w:eastAsia="仿宋" w:cs="仿宋"/>
          <w:color w:val="auto"/>
        </w:rPr>
      </w:pPr>
    </w:p>
    <w:p w14:paraId="3A8F8597">
      <w:pPr>
        <w:pStyle w:val="27"/>
        <w:rPr>
          <w:rFonts w:ascii="仿宋" w:hAnsi="仿宋" w:eastAsia="仿宋" w:cs="仿宋"/>
          <w:color w:val="auto"/>
        </w:rPr>
      </w:pPr>
      <w:r>
        <w:rPr>
          <w:rFonts w:hint="eastAsia" w:ascii="仿宋" w:hAnsi="仿宋" w:eastAsia="仿宋" w:cs="仿宋"/>
          <w:color w:val="auto"/>
        </w:rPr>
        <w:t>注：</w:t>
      </w:r>
    </w:p>
    <w:p w14:paraId="4EA6D184">
      <w:pPr>
        <w:pStyle w:val="27"/>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7"/>
        <w:jc w:val="both"/>
        <w:rPr>
          <w:rFonts w:ascii="仿宋" w:hAnsi="仿宋" w:eastAsia="仿宋" w:cs="仿宋"/>
          <w:color w:val="auto"/>
          <w:sz w:val="32"/>
          <w:szCs w:val="32"/>
        </w:rPr>
      </w:pPr>
    </w:p>
    <w:p w14:paraId="4F51345A">
      <w:pPr>
        <w:pStyle w:val="27"/>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6"/>
          <w:rFonts w:hint="eastAsia" w:ascii="仿宋" w:hAnsi="仿宋" w:eastAsia="仿宋" w:cs="仿宋"/>
          <w:b/>
          <w:bCs/>
          <w:color w:val="auto"/>
          <w:kern w:val="2"/>
          <w:sz w:val="32"/>
          <w:szCs w:val="28"/>
        </w:rPr>
        <w:t>法定代表人授权委托书</w:t>
      </w:r>
    </w:p>
    <w:p w14:paraId="24304F0C">
      <w:pPr>
        <w:pStyle w:val="27"/>
        <w:jc w:val="center"/>
        <w:rPr>
          <w:rFonts w:ascii="仿宋" w:hAnsi="仿宋" w:eastAsia="仿宋" w:cs="仿宋"/>
          <w:b/>
          <w:bCs/>
          <w:color w:val="auto"/>
        </w:rPr>
      </w:pPr>
    </w:p>
    <w:p w14:paraId="4E13D238">
      <w:pPr>
        <w:pStyle w:val="2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7"/>
        <w:jc w:val="center"/>
        <w:rPr>
          <w:rFonts w:ascii="仿宋" w:hAnsi="仿宋" w:eastAsia="仿宋" w:cs="仿宋"/>
          <w:color w:val="auto"/>
        </w:rPr>
      </w:pPr>
    </w:p>
    <w:p w14:paraId="12388C27">
      <w:pPr>
        <w:pStyle w:val="10"/>
        <w:snapToGrid w:val="0"/>
        <w:spacing w:after="0" w:line="500" w:lineRule="exact"/>
        <w:ind w:firstLine="480" w:firstLineChars="200"/>
        <w:rPr>
          <w:rFonts w:ascii="仿宋" w:hAnsi="仿宋" w:eastAsia="仿宋" w:cs="仿宋"/>
          <w:sz w:val="24"/>
        </w:rPr>
      </w:pPr>
    </w:p>
    <w:p w14:paraId="1162A055">
      <w:pPr>
        <w:pStyle w:val="10"/>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0"/>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0"/>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3"/>
        <w:ind w:firstLine="0"/>
        <w:rPr>
          <w:rStyle w:val="44"/>
          <w:rFonts w:ascii="仿宋" w:hAnsi="仿宋" w:cs="仿宋"/>
          <w:b/>
          <w:szCs w:val="32"/>
        </w:rPr>
      </w:pPr>
      <w:r>
        <w:rPr>
          <w:rFonts w:hint="eastAsia" w:ascii="仿宋" w:hAnsi="仿宋" w:cs="仿宋"/>
          <w:szCs w:val="32"/>
        </w:rPr>
        <w:br w:type="page"/>
      </w:r>
      <w:bookmarkStart w:id="64" w:name="_Toc1074"/>
      <w:bookmarkStart w:id="65" w:name="_Toc12967"/>
      <w:bookmarkStart w:id="66" w:name="_Toc2041"/>
      <w:bookmarkStart w:id="67" w:name="_Toc23967"/>
      <w:bookmarkStart w:id="68" w:name="_Toc16435"/>
      <w:bookmarkStart w:id="69" w:name="_Toc26969"/>
      <w:r>
        <w:rPr>
          <w:rStyle w:val="44"/>
          <w:rFonts w:hint="eastAsia"/>
          <w:b/>
        </w:rPr>
        <w:t>采购需求偏离表</w:t>
      </w:r>
      <w:bookmarkEnd w:id="64"/>
      <w:bookmarkEnd w:id="65"/>
      <w:bookmarkEnd w:id="66"/>
      <w:bookmarkEnd w:id="67"/>
      <w:bookmarkEnd w:id="68"/>
      <w:bookmarkEnd w:id="69"/>
    </w:p>
    <w:p w14:paraId="4486095D">
      <w:pPr>
        <w:pStyle w:val="3"/>
        <w:numPr>
          <w:ilvl w:val="0"/>
          <w:numId w:val="0"/>
        </w:numPr>
        <w:ind w:firstLine="3534" w:firstLineChars="1100"/>
        <w:jc w:val="both"/>
        <w:rPr>
          <w:rFonts w:ascii="仿宋" w:hAnsi="仿宋" w:cs="仿宋"/>
          <w:szCs w:val="32"/>
        </w:rPr>
      </w:pPr>
      <w:r>
        <w:rPr>
          <w:rStyle w:val="44"/>
          <w:rFonts w:hint="eastAsia"/>
          <w:b/>
        </w:rPr>
        <w:t>1、技术或服务要求偏离表</w:t>
      </w:r>
    </w:p>
    <w:p w14:paraId="37BA59D9">
      <w:pPr>
        <w:pStyle w:val="10"/>
        <w:spacing w:line="300" w:lineRule="atLeast"/>
        <w:rPr>
          <w:rFonts w:ascii="仿宋" w:hAnsi="仿宋" w:eastAsia="仿宋" w:cs="仿宋"/>
          <w:kern w:val="0"/>
          <w:sz w:val="24"/>
          <w:lang w:val="zh-TW" w:eastAsia="zh-TW"/>
        </w:rPr>
      </w:pPr>
    </w:p>
    <w:tbl>
      <w:tblPr>
        <w:tblStyle w:val="2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0"/>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7"/>
        <w:jc w:val="center"/>
        <w:rPr>
          <w:rFonts w:ascii="仿宋" w:hAnsi="仿宋" w:eastAsia="仿宋" w:cs="仿宋"/>
          <w:color w:val="auto"/>
          <w:sz w:val="32"/>
          <w:szCs w:val="32"/>
        </w:rPr>
      </w:pPr>
    </w:p>
    <w:p w14:paraId="78FA94AA">
      <w:pPr>
        <w:pStyle w:val="3"/>
        <w:numPr>
          <w:ilvl w:val="0"/>
          <w:numId w:val="0"/>
        </w:numPr>
        <w:ind w:firstLine="3534" w:firstLineChars="1100"/>
        <w:jc w:val="both"/>
        <w:rPr>
          <w:rStyle w:val="44"/>
          <w:b/>
        </w:rPr>
      </w:pPr>
    </w:p>
    <w:p w14:paraId="538B348C">
      <w:pPr>
        <w:pStyle w:val="3"/>
        <w:numPr>
          <w:ilvl w:val="0"/>
          <w:numId w:val="0"/>
        </w:numPr>
        <w:ind w:firstLine="3534" w:firstLineChars="1100"/>
        <w:jc w:val="both"/>
        <w:rPr>
          <w:rStyle w:val="44"/>
          <w:b/>
        </w:rPr>
      </w:pPr>
    </w:p>
    <w:p w14:paraId="1D350067">
      <w:pPr>
        <w:pStyle w:val="3"/>
        <w:numPr>
          <w:ilvl w:val="0"/>
          <w:numId w:val="0"/>
        </w:numPr>
        <w:ind w:firstLine="3534" w:firstLineChars="1100"/>
        <w:jc w:val="both"/>
        <w:rPr>
          <w:rStyle w:val="44"/>
          <w:b/>
        </w:rPr>
      </w:pPr>
    </w:p>
    <w:p w14:paraId="3DA804A1">
      <w:pPr>
        <w:pStyle w:val="3"/>
        <w:numPr>
          <w:ilvl w:val="0"/>
          <w:numId w:val="0"/>
        </w:numPr>
        <w:ind w:firstLine="3534" w:firstLineChars="1100"/>
        <w:jc w:val="both"/>
        <w:rPr>
          <w:rStyle w:val="44"/>
          <w:b/>
        </w:rPr>
      </w:pPr>
    </w:p>
    <w:p w14:paraId="0131036C">
      <w:pPr>
        <w:pStyle w:val="3"/>
        <w:numPr>
          <w:ilvl w:val="0"/>
          <w:numId w:val="0"/>
        </w:numPr>
        <w:ind w:firstLine="3534" w:firstLineChars="1100"/>
        <w:jc w:val="both"/>
        <w:rPr>
          <w:rStyle w:val="44"/>
          <w:b/>
        </w:rPr>
      </w:pPr>
    </w:p>
    <w:p w14:paraId="0F3815F8">
      <w:pPr>
        <w:pStyle w:val="3"/>
        <w:numPr>
          <w:ilvl w:val="0"/>
          <w:numId w:val="0"/>
        </w:numPr>
        <w:ind w:firstLine="3534" w:firstLineChars="1100"/>
        <w:jc w:val="both"/>
        <w:rPr>
          <w:rStyle w:val="44"/>
          <w:b/>
        </w:rPr>
      </w:pPr>
    </w:p>
    <w:p w14:paraId="0AC23294">
      <w:pPr>
        <w:pStyle w:val="3"/>
        <w:numPr>
          <w:ilvl w:val="0"/>
          <w:numId w:val="0"/>
        </w:numPr>
        <w:ind w:firstLine="3534" w:firstLineChars="1100"/>
        <w:jc w:val="both"/>
        <w:rPr>
          <w:rStyle w:val="44"/>
          <w:b/>
        </w:rPr>
      </w:pPr>
    </w:p>
    <w:p w14:paraId="317D2E89">
      <w:pPr>
        <w:pStyle w:val="3"/>
        <w:numPr>
          <w:ilvl w:val="0"/>
          <w:numId w:val="0"/>
        </w:numPr>
        <w:ind w:firstLine="3534" w:firstLineChars="1100"/>
        <w:jc w:val="both"/>
        <w:rPr>
          <w:rStyle w:val="44"/>
          <w:b/>
        </w:rPr>
      </w:pPr>
    </w:p>
    <w:p w14:paraId="41DF1E15">
      <w:pPr>
        <w:pStyle w:val="3"/>
        <w:numPr>
          <w:ilvl w:val="0"/>
          <w:numId w:val="0"/>
        </w:numPr>
        <w:ind w:firstLine="3534" w:firstLineChars="1100"/>
        <w:jc w:val="both"/>
        <w:rPr>
          <w:rFonts w:ascii="仿宋" w:hAnsi="仿宋" w:cs="仿宋"/>
          <w:szCs w:val="32"/>
        </w:rPr>
      </w:pPr>
      <w:r>
        <w:rPr>
          <w:rStyle w:val="44"/>
          <w:rFonts w:hint="eastAsia"/>
          <w:b/>
        </w:rPr>
        <w:t>2、商务要求偏离表</w:t>
      </w:r>
    </w:p>
    <w:p w14:paraId="0C56E64E">
      <w:pPr>
        <w:pStyle w:val="10"/>
        <w:spacing w:line="300" w:lineRule="atLeast"/>
        <w:rPr>
          <w:rFonts w:ascii="仿宋" w:hAnsi="仿宋" w:eastAsia="仿宋" w:cs="仿宋"/>
          <w:kern w:val="0"/>
          <w:sz w:val="24"/>
          <w:lang w:val="zh-TW" w:eastAsia="zh-TW"/>
        </w:rPr>
      </w:pPr>
    </w:p>
    <w:tbl>
      <w:tblPr>
        <w:tblStyle w:val="22"/>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0"/>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7"/>
        <w:jc w:val="center"/>
        <w:rPr>
          <w:rFonts w:ascii="仿宋" w:hAnsi="仿宋" w:eastAsia="仿宋" w:cs="仿宋"/>
          <w:color w:val="auto"/>
          <w:sz w:val="32"/>
          <w:szCs w:val="32"/>
        </w:rPr>
      </w:pPr>
    </w:p>
    <w:p w14:paraId="4A2C47A1">
      <w:pPr>
        <w:pStyle w:val="27"/>
        <w:jc w:val="center"/>
        <w:rPr>
          <w:rFonts w:ascii="仿宋" w:hAnsi="仿宋" w:eastAsia="仿宋" w:cs="仿宋"/>
          <w:color w:val="auto"/>
          <w:sz w:val="32"/>
          <w:szCs w:val="32"/>
        </w:rPr>
      </w:pPr>
      <w:r>
        <w:rPr>
          <w:rFonts w:hint="eastAsia" w:ascii="仿宋" w:hAnsi="仿宋" w:cs="仿宋"/>
          <w:szCs w:val="32"/>
        </w:rPr>
        <w:br w:type="page"/>
      </w:r>
    </w:p>
    <w:p w14:paraId="655B6C37">
      <w:pPr>
        <w:pStyle w:val="3"/>
        <w:numPr>
          <w:ilvl w:val="0"/>
          <w:numId w:val="0"/>
        </w:numPr>
        <w:jc w:val="both"/>
        <w:rPr>
          <w:rFonts w:ascii="仿宋" w:hAnsi="仿宋" w:cs="仿宋"/>
          <w:bCs/>
          <w:szCs w:val="32"/>
        </w:rPr>
      </w:pPr>
      <w:bookmarkStart w:id="70" w:name="_Toc28634"/>
      <w:bookmarkStart w:id="71" w:name="_Toc26839"/>
      <w:bookmarkStart w:id="72" w:name="_Toc31686"/>
      <w:bookmarkStart w:id="73" w:name="_Toc1369"/>
      <w:bookmarkStart w:id="74" w:name="_Toc21082"/>
      <w:bookmarkStart w:id="75" w:name="_Toc24806"/>
      <w:r>
        <w:rPr>
          <w:rFonts w:hint="eastAsia" w:ascii="仿宋" w:hAnsi="仿宋" w:cs="仿宋"/>
          <w:szCs w:val="32"/>
        </w:rPr>
        <w:t>七、</w:t>
      </w:r>
      <w:r>
        <w:rPr>
          <w:rStyle w:val="44"/>
          <w:rFonts w:hint="eastAsia"/>
          <w:b/>
        </w:rPr>
        <w:t>评分需要提供的证明材料</w:t>
      </w:r>
      <w:bookmarkEnd w:id="70"/>
      <w:bookmarkEnd w:id="71"/>
      <w:bookmarkEnd w:id="72"/>
      <w:bookmarkEnd w:id="73"/>
      <w:bookmarkEnd w:id="74"/>
      <w:bookmarkEnd w:id="75"/>
    </w:p>
    <w:p w14:paraId="3A6C57E4">
      <w:pPr>
        <w:pStyle w:val="27"/>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7"/>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6"/>
          <w:rFonts w:ascii="仿宋" w:hAnsi="仿宋" w:eastAsia="仿宋" w:cs="仿宋"/>
          <w:sz w:val="32"/>
          <w:szCs w:val="28"/>
        </w:rPr>
      </w:pPr>
      <w:r>
        <w:rPr>
          <w:rFonts w:hint="eastAsia" w:ascii="仿宋" w:hAnsi="仿宋" w:eastAsia="仿宋" w:cs="仿宋"/>
          <w:b/>
          <w:bCs/>
          <w:sz w:val="32"/>
          <w:szCs w:val="32"/>
        </w:rPr>
        <w:br w:type="page"/>
      </w:r>
      <w:bookmarkStart w:id="76" w:name="_Toc3871"/>
      <w:bookmarkStart w:id="77" w:name="_Toc32605"/>
      <w:bookmarkStart w:id="78" w:name="_Toc24494"/>
    </w:p>
    <w:p w14:paraId="26149625">
      <w:pPr>
        <w:pStyle w:val="3"/>
        <w:numPr>
          <w:ilvl w:val="1"/>
          <w:numId w:val="9"/>
        </w:numPr>
        <w:jc w:val="both"/>
      </w:pPr>
      <w:bookmarkStart w:id="79" w:name="_Toc30002"/>
      <w:bookmarkStart w:id="80" w:name="_Toc29032"/>
      <w:bookmarkStart w:id="81" w:name="_Toc14685"/>
      <w:r>
        <w:rPr>
          <w:rFonts w:hint="eastAsia"/>
        </w:rPr>
        <w:t>报价单</w:t>
      </w:r>
    </w:p>
    <w:p w14:paraId="37B9C057">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9E46B10">
      <w:pPr>
        <w:pStyle w:val="10"/>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ABD95E5">
      <w:pPr>
        <w:pStyle w:val="10"/>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508534DE">
      <w:pPr>
        <w:pStyle w:val="10"/>
        <w:rPr>
          <w:rFonts w:hint="eastAsia" w:ascii="仿宋" w:hAnsi="仿宋" w:eastAsia="仿宋" w:cs="仿宋"/>
          <w:b/>
          <w:bCs/>
        </w:rPr>
      </w:pPr>
      <w:r>
        <w:rPr>
          <w:rFonts w:hint="eastAsia" w:ascii="仿宋" w:hAnsi="仿宋" w:eastAsia="仿宋" w:cs="仿宋"/>
          <w:b/>
          <w:bCs/>
        </w:rPr>
        <w:t>2.报价一览表</w:t>
      </w:r>
    </w:p>
    <w:tbl>
      <w:tblPr>
        <w:tblStyle w:val="22"/>
        <w:tblW w:w="9849" w:type="dxa"/>
        <w:tblInd w:w="0" w:type="dxa"/>
        <w:tblLayout w:type="autofit"/>
        <w:tblCellMar>
          <w:top w:w="0" w:type="dxa"/>
          <w:left w:w="108" w:type="dxa"/>
          <w:bottom w:w="0" w:type="dxa"/>
          <w:right w:w="108" w:type="dxa"/>
        </w:tblCellMar>
      </w:tblPr>
      <w:tblGrid>
        <w:gridCol w:w="2493"/>
        <w:gridCol w:w="1122"/>
        <w:gridCol w:w="1439"/>
        <w:gridCol w:w="1475"/>
        <w:gridCol w:w="1695"/>
        <w:gridCol w:w="1625"/>
      </w:tblGrid>
      <w:tr w14:paraId="74B22E2D">
        <w:tblPrEx>
          <w:tblCellMar>
            <w:top w:w="0" w:type="dxa"/>
            <w:left w:w="108" w:type="dxa"/>
            <w:bottom w:w="0" w:type="dxa"/>
            <w:right w:w="108" w:type="dxa"/>
          </w:tblCellMar>
        </w:tblPrEx>
        <w:trPr>
          <w:trHeight w:val="584" w:hRule="atLeast"/>
        </w:trPr>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14:paraId="6F7CF05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检测具体项目</w:t>
            </w:r>
          </w:p>
        </w:tc>
        <w:tc>
          <w:tcPr>
            <w:tcW w:w="1122" w:type="dxa"/>
            <w:tcBorders>
              <w:top w:val="single" w:color="auto" w:sz="4" w:space="0"/>
              <w:left w:val="nil"/>
              <w:bottom w:val="single" w:color="auto" w:sz="4" w:space="0"/>
              <w:right w:val="single" w:color="auto" w:sz="4" w:space="0"/>
            </w:tcBorders>
            <w:shd w:val="clear" w:color="auto" w:fill="auto"/>
            <w:vAlign w:val="center"/>
          </w:tcPr>
          <w:p w14:paraId="6C21C91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检测次数</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7FD02B9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单价（元/次）</w:t>
            </w:r>
          </w:p>
        </w:tc>
        <w:tc>
          <w:tcPr>
            <w:tcW w:w="1695" w:type="dxa"/>
            <w:tcBorders>
              <w:top w:val="single" w:color="auto" w:sz="4" w:space="0"/>
              <w:left w:val="nil"/>
              <w:bottom w:val="single" w:color="auto" w:sz="4" w:space="0"/>
              <w:right w:val="single" w:color="auto" w:sz="4" w:space="0"/>
            </w:tcBorders>
            <w:shd w:val="clear" w:color="auto" w:fill="auto"/>
            <w:vAlign w:val="center"/>
          </w:tcPr>
          <w:p w14:paraId="5C9DD574">
            <w:pPr>
              <w:widowControl/>
              <w:jc w:val="center"/>
              <w:rPr>
                <w:rFonts w:hint="default" w:ascii="仿宋_GB2312" w:hAnsi="微软雅黑" w:eastAsiaTheme="minorEastAsia"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报价单价（元/次）</w:t>
            </w:r>
          </w:p>
        </w:tc>
        <w:tc>
          <w:tcPr>
            <w:tcW w:w="1625" w:type="dxa"/>
            <w:tcBorders>
              <w:top w:val="single" w:color="auto" w:sz="4" w:space="0"/>
              <w:left w:val="nil"/>
              <w:bottom w:val="single" w:color="auto" w:sz="4" w:space="0"/>
              <w:right w:val="single" w:color="auto" w:sz="4" w:space="0"/>
            </w:tcBorders>
            <w:shd w:val="clear" w:color="auto" w:fill="auto"/>
            <w:vAlign w:val="center"/>
          </w:tcPr>
          <w:p w14:paraId="1A38C831">
            <w:pPr>
              <w:widowControl/>
              <w:tabs>
                <w:tab w:val="left" w:pos="514"/>
              </w:tabs>
              <w:jc w:val="left"/>
              <w:rPr>
                <w:rFonts w:hint="default" w:ascii="仿宋_GB2312" w:hAnsi="微软雅黑" w:eastAsiaTheme="minorEastAsia"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报价合计（元）</w:t>
            </w:r>
          </w:p>
        </w:tc>
      </w:tr>
      <w:tr w14:paraId="7492721D">
        <w:tblPrEx>
          <w:tblCellMar>
            <w:top w:w="0" w:type="dxa"/>
            <w:left w:w="108" w:type="dxa"/>
            <w:bottom w:w="0" w:type="dxa"/>
            <w:right w:w="108" w:type="dxa"/>
          </w:tblCellMar>
        </w:tblPrEx>
        <w:trPr>
          <w:trHeight w:val="569" w:hRule="atLeast"/>
        </w:trPr>
        <w:tc>
          <w:tcPr>
            <w:tcW w:w="2493" w:type="dxa"/>
            <w:vMerge w:val="restart"/>
            <w:tcBorders>
              <w:top w:val="nil"/>
              <w:left w:val="single" w:color="auto" w:sz="4" w:space="0"/>
              <w:bottom w:val="single" w:color="auto" w:sz="4" w:space="0"/>
              <w:right w:val="single" w:color="auto" w:sz="4" w:space="0"/>
            </w:tcBorders>
            <w:shd w:val="clear" w:color="auto" w:fill="auto"/>
            <w:vAlign w:val="center"/>
          </w:tcPr>
          <w:p w14:paraId="6920C45E">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温度                  </w:t>
            </w:r>
          </w:p>
          <w:p w14:paraId="03AED784">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2.</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湿度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3.</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压差(静压差)          </w:t>
            </w:r>
          </w:p>
          <w:p w14:paraId="6B9DFED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4.</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噪声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5.</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新风量                </w:t>
            </w:r>
          </w:p>
          <w:p w14:paraId="104267D6">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6.</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换气次数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7.</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最低照度              </w:t>
            </w:r>
          </w:p>
          <w:p w14:paraId="3037A9C1">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8.</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洁净度                                                                                                                                                             </w:t>
            </w: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9.</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 xml:space="preserve">风速                  </w:t>
            </w:r>
          </w:p>
          <w:p w14:paraId="3E2BCB8D">
            <w:pPr>
              <w:widowControl/>
              <w:numPr>
                <w:ilvl w:val="0"/>
                <w:numId w:val="0"/>
              </w:numPr>
              <w:ind w:leftChars="0"/>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10.</w:t>
            </w: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细菌总数</w:t>
            </w:r>
          </w:p>
        </w:tc>
        <w:tc>
          <w:tcPr>
            <w:tcW w:w="1122" w:type="dxa"/>
            <w:tcBorders>
              <w:top w:val="nil"/>
              <w:left w:val="nil"/>
              <w:bottom w:val="single" w:color="auto" w:sz="4" w:space="0"/>
              <w:right w:val="single" w:color="auto" w:sz="4" w:space="0"/>
            </w:tcBorders>
            <w:shd w:val="clear" w:color="auto" w:fill="auto"/>
            <w:vAlign w:val="center"/>
          </w:tcPr>
          <w:p w14:paraId="2BEAF477">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1439" w:type="dxa"/>
            <w:tcBorders>
              <w:top w:val="nil"/>
              <w:left w:val="nil"/>
              <w:bottom w:val="single" w:color="auto" w:sz="4" w:space="0"/>
              <w:right w:val="single" w:color="auto" w:sz="4" w:space="0"/>
            </w:tcBorders>
            <w:shd w:val="clear" w:color="auto" w:fill="auto"/>
            <w:vAlign w:val="center"/>
          </w:tcPr>
          <w:p w14:paraId="487B0E9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洁净百级</w:t>
            </w:r>
          </w:p>
        </w:tc>
        <w:tc>
          <w:tcPr>
            <w:tcW w:w="1475" w:type="dxa"/>
            <w:tcBorders>
              <w:top w:val="nil"/>
              <w:left w:val="nil"/>
              <w:bottom w:val="single" w:color="auto" w:sz="4" w:space="0"/>
              <w:right w:val="single" w:color="auto" w:sz="4" w:space="0"/>
            </w:tcBorders>
            <w:shd w:val="clear" w:color="auto" w:fill="auto"/>
            <w:vAlign w:val="center"/>
          </w:tcPr>
          <w:p w14:paraId="695F295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c>
          <w:tcPr>
            <w:tcW w:w="1695" w:type="dxa"/>
            <w:tcBorders>
              <w:top w:val="nil"/>
              <w:left w:val="nil"/>
              <w:bottom w:val="single" w:color="auto" w:sz="4" w:space="0"/>
              <w:right w:val="single" w:color="auto" w:sz="4" w:space="0"/>
            </w:tcBorders>
            <w:shd w:val="clear" w:color="auto" w:fill="auto"/>
            <w:vAlign w:val="center"/>
          </w:tcPr>
          <w:p w14:paraId="29465B4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restart"/>
            <w:tcBorders>
              <w:top w:val="nil"/>
              <w:left w:val="nil"/>
              <w:right w:val="single" w:color="auto" w:sz="4" w:space="0"/>
            </w:tcBorders>
            <w:shd w:val="clear" w:color="auto" w:fill="auto"/>
            <w:vAlign w:val="center"/>
          </w:tcPr>
          <w:p w14:paraId="48B5DD24">
            <w:pPr>
              <w:widowControl/>
              <w:jc w:val="cente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大写：</w:t>
            </w:r>
          </w:p>
          <w:p w14:paraId="3F8928F3">
            <w:pPr>
              <w:widowControl/>
              <w:jc w:val="center"/>
              <w:rPr>
                <w:rFonts w:hint="default"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pPr>
            <w:r>
              <w:rPr>
                <w:rFonts w:hint="eastAsia" w:ascii="仿宋_GB2312" w:hAnsi="微软雅黑" w:cstheme="minorBidi"/>
                <w:color w:val="000000" w:themeColor="text1"/>
                <w:spacing w:val="2"/>
                <w:kern w:val="2"/>
                <w:sz w:val="21"/>
                <w:szCs w:val="26"/>
                <w:shd w:val="clear" w:color="auto" w:fill="FFFFFF"/>
                <w:lang w:val="en-US" w:eastAsia="zh-CN" w:bidi="zh-CN"/>
                <w14:textFill>
                  <w14:solidFill>
                    <w14:schemeClr w14:val="tx1"/>
                  </w14:solidFill>
                </w14:textFill>
              </w:rPr>
              <w:t>小写：</w:t>
            </w:r>
          </w:p>
        </w:tc>
      </w:tr>
      <w:tr w14:paraId="4DE9390D">
        <w:tblPrEx>
          <w:tblCellMar>
            <w:top w:w="0" w:type="dxa"/>
            <w:left w:w="108" w:type="dxa"/>
            <w:bottom w:w="0" w:type="dxa"/>
            <w:right w:w="108" w:type="dxa"/>
          </w:tblCellMar>
        </w:tblPrEx>
        <w:trPr>
          <w:trHeight w:val="576" w:hRule="atLeast"/>
        </w:trPr>
        <w:tc>
          <w:tcPr>
            <w:tcW w:w="2493" w:type="dxa"/>
            <w:vMerge w:val="continue"/>
            <w:tcBorders>
              <w:top w:val="nil"/>
              <w:left w:val="single" w:color="auto" w:sz="4" w:space="0"/>
              <w:bottom w:val="single" w:color="auto" w:sz="4" w:space="0"/>
              <w:right w:val="single" w:color="auto" w:sz="4" w:space="0"/>
            </w:tcBorders>
            <w:vAlign w:val="center"/>
          </w:tcPr>
          <w:p w14:paraId="08BA9248">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122" w:type="dxa"/>
            <w:tcBorders>
              <w:top w:val="nil"/>
              <w:left w:val="nil"/>
              <w:bottom w:val="single" w:color="auto" w:sz="4" w:space="0"/>
              <w:right w:val="single" w:color="auto" w:sz="4" w:space="0"/>
            </w:tcBorders>
            <w:shd w:val="clear" w:color="auto" w:fill="auto"/>
            <w:vAlign w:val="center"/>
          </w:tcPr>
          <w:p w14:paraId="11B49E8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100次</w:t>
            </w:r>
          </w:p>
        </w:tc>
        <w:tc>
          <w:tcPr>
            <w:tcW w:w="1439" w:type="dxa"/>
            <w:tcBorders>
              <w:top w:val="nil"/>
              <w:left w:val="nil"/>
              <w:bottom w:val="single" w:color="auto" w:sz="4" w:space="0"/>
              <w:right w:val="single" w:color="auto" w:sz="4" w:space="0"/>
            </w:tcBorders>
            <w:shd w:val="clear" w:color="auto" w:fill="auto"/>
            <w:vAlign w:val="center"/>
          </w:tcPr>
          <w:p w14:paraId="7A023E1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洁净万级</w:t>
            </w:r>
          </w:p>
        </w:tc>
        <w:tc>
          <w:tcPr>
            <w:tcW w:w="1475" w:type="dxa"/>
            <w:tcBorders>
              <w:top w:val="nil"/>
              <w:left w:val="nil"/>
              <w:bottom w:val="single" w:color="auto" w:sz="4" w:space="0"/>
              <w:right w:val="single" w:color="auto" w:sz="4" w:space="0"/>
            </w:tcBorders>
            <w:shd w:val="clear" w:color="auto" w:fill="auto"/>
            <w:vAlign w:val="center"/>
          </w:tcPr>
          <w:p w14:paraId="6DE26AB5">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700</w:t>
            </w:r>
          </w:p>
        </w:tc>
        <w:tc>
          <w:tcPr>
            <w:tcW w:w="1695" w:type="dxa"/>
            <w:tcBorders>
              <w:top w:val="nil"/>
              <w:left w:val="nil"/>
              <w:bottom w:val="single" w:color="auto" w:sz="4" w:space="0"/>
              <w:right w:val="single" w:color="auto" w:sz="4" w:space="0"/>
            </w:tcBorders>
            <w:shd w:val="clear" w:color="auto" w:fill="auto"/>
            <w:vAlign w:val="center"/>
          </w:tcPr>
          <w:p w14:paraId="7644D61C">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0DF5325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22B8808">
        <w:tblPrEx>
          <w:tblCellMar>
            <w:top w:w="0" w:type="dxa"/>
            <w:left w:w="108" w:type="dxa"/>
            <w:bottom w:w="0" w:type="dxa"/>
            <w:right w:w="108" w:type="dxa"/>
          </w:tblCellMar>
        </w:tblPrEx>
        <w:trPr>
          <w:trHeight w:val="2037" w:hRule="atLeast"/>
        </w:trPr>
        <w:tc>
          <w:tcPr>
            <w:tcW w:w="2493" w:type="dxa"/>
            <w:vMerge w:val="continue"/>
            <w:tcBorders>
              <w:top w:val="nil"/>
              <w:left w:val="single" w:color="auto" w:sz="4" w:space="0"/>
              <w:bottom w:val="single" w:color="auto" w:sz="4" w:space="0"/>
              <w:right w:val="single" w:color="auto" w:sz="4" w:space="0"/>
            </w:tcBorders>
            <w:vAlign w:val="center"/>
          </w:tcPr>
          <w:p w14:paraId="36998474">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122" w:type="dxa"/>
            <w:tcBorders>
              <w:top w:val="nil"/>
              <w:left w:val="nil"/>
              <w:bottom w:val="single" w:color="auto" w:sz="4" w:space="0"/>
              <w:right w:val="single" w:color="auto" w:sz="4" w:space="0"/>
            </w:tcBorders>
            <w:shd w:val="clear" w:color="auto" w:fill="auto"/>
            <w:vAlign w:val="center"/>
          </w:tcPr>
          <w:p w14:paraId="1C8BCAE4">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30次</w:t>
            </w:r>
          </w:p>
        </w:tc>
        <w:tc>
          <w:tcPr>
            <w:tcW w:w="1439" w:type="dxa"/>
            <w:tcBorders>
              <w:top w:val="nil"/>
              <w:left w:val="nil"/>
              <w:bottom w:val="single" w:color="auto" w:sz="4" w:space="0"/>
              <w:right w:val="single" w:color="auto" w:sz="4" w:space="0"/>
            </w:tcBorders>
            <w:shd w:val="clear" w:color="auto" w:fill="auto"/>
            <w:vAlign w:val="center"/>
          </w:tcPr>
          <w:p w14:paraId="374799A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洁净十万级</w:t>
            </w:r>
          </w:p>
        </w:tc>
        <w:tc>
          <w:tcPr>
            <w:tcW w:w="1475" w:type="dxa"/>
            <w:tcBorders>
              <w:top w:val="nil"/>
              <w:left w:val="nil"/>
              <w:bottom w:val="single" w:color="auto" w:sz="4" w:space="0"/>
              <w:right w:val="single" w:color="auto" w:sz="4" w:space="0"/>
            </w:tcBorders>
            <w:shd w:val="clear" w:color="auto" w:fill="auto"/>
            <w:vAlign w:val="center"/>
          </w:tcPr>
          <w:p w14:paraId="5388C1E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400</w:t>
            </w:r>
          </w:p>
        </w:tc>
        <w:tc>
          <w:tcPr>
            <w:tcW w:w="1695" w:type="dxa"/>
            <w:tcBorders>
              <w:top w:val="nil"/>
              <w:left w:val="nil"/>
              <w:bottom w:val="single" w:color="auto" w:sz="4" w:space="0"/>
              <w:right w:val="single" w:color="auto" w:sz="4" w:space="0"/>
            </w:tcBorders>
            <w:shd w:val="clear" w:color="auto" w:fill="auto"/>
            <w:vAlign w:val="center"/>
          </w:tcPr>
          <w:p w14:paraId="5609568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64C359B2">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F2CEFE8">
        <w:tblPrEx>
          <w:tblCellMar>
            <w:top w:w="0" w:type="dxa"/>
            <w:left w:w="108" w:type="dxa"/>
            <w:bottom w:w="0" w:type="dxa"/>
            <w:right w:w="108" w:type="dxa"/>
          </w:tblCellMar>
        </w:tblPrEx>
        <w:trPr>
          <w:trHeight w:val="1349" w:hRule="atLeast"/>
        </w:trPr>
        <w:tc>
          <w:tcPr>
            <w:tcW w:w="2493" w:type="dxa"/>
            <w:tcBorders>
              <w:top w:val="nil"/>
              <w:left w:val="single" w:color="auto" w:sz="4" w:space="0"/>
              <w:bottom w:val="single" w:color="auto" w:sz="4" w:space="0"/>
              <w:right w:val="single" w:color="auto" w:sz="4" w:space="0"/>
            </w:tcBorders>
            <w:shd w:val="clear" w:color="auto" w:fill="auto"/>
            <w:vAlign w:val="center"/>
          </w:tcPr>
          <w:p w14:paraId="33698DEC">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1122" w:type="dxa"/>
            <w:tcBorders>
              <w:top w:val="nil"/>
              <w:left w:val="nil"/>
              <w:bottom w:val="single" w:color="auto" w:sz="4" w:space="0"/>
              <w:right w:val="single" w:color="auto" w:sz="4" w:space="0"/>
            </w:tcBorders>
            <w:shd w:val="clear" w:color="auto" w:fill="auto"/>
            <w:vAlign w:val="center"/>
          </w:tcPr>
          <w:p w14:paraId="35D50F71">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40次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3CED6C63">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5F9AC6B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37E97B3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664D93CF">
        <w:tblPrEx>
          <w:tblCellMar>
            <w:top w:w="0" w:type="dxa"/>
            <w:left w:w="108" w:type="dxa"/>
            <w:bottom w:w="0" w:type="dxa"/>
            <w:right w:w="108" w:type="dxa"/>
          </w:tblCellMar>
        </w:tblPrEx>
        <w:trPr>
          <w:trHeight w:val="1562" w:hRule="atLeast"/>
        </w:trPr>
        <w:tc>
          <w:tcPr>
            <w:tcW w:w="2493" w:type="dxa"/>
            <w:tcBorders>
              <w:top w:val="nil"/>
              <w:left w:val="single" w:color="auto" w:sz="4" w:space="0"/>
              <w:bottom w:val="single" w:color="auto" w:sz="4" w:space="0"/>
              <w:right w:val="single" w:color="auto" w:sz="4" w:space="0"/>
            </w:tcBorders>
            <w:shd w:val="clear" w:color="auto" w:fill="auto"/>
            <w:vAlign w:val="center"/>
          </w:tcPr>
          <w:p w14:paraId="1B8DADEB">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下降气流流速、流入气流流速、噪声、照度、高效过滤器完整性、气流烟雾模式、设备外观与结构完整性</w:t>
            </w:r>
          </w:p>
        </w:tc>
        <w:tc>
          <w:tcPr>
            <w:tcW w:w="1122" w:type="dxa"/>
            <w:tcBorders>
              <w:top w:val="nil"/>
              <w:left w:val="nil"/>
              <w:bottom w:val="single" w:color="auto" w:sz="4" w:space="0"/>
              <w:right w:val="single" w:color="auto" w:sz="4" w:space="0"/>
            </w:tcBorders>
            <w:shd w:val="clear" w:color="auto" w:fill="auto"/>
            <w:vAlign w:val="center"/>
          </w:tcPr>
          <w:p w14:paraId="27781A4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10次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33400739">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600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5EA8468E">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right w:val="single" w:color="auto" w:sz="4" w:space="0"/>
            </w:tcBorders>
            <w:shd w:val="clear" w:color="auto" w:fill="auto"/>
            <w:vAlign w:val="center"/>
          </w:tcPr>
          <w:p w14:paraId="49AC6E7F">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r w14:paraId="26B748D7">
        <w:tblPrEx>
          <w:tblCellMar>
            <w:top w:w="0" w:type="dxa"/>
            <w:left w:w="108" w:type="dxa"/>
            <w:bottom w:w="0" w:type="dxa"/>
            <w:right w:w="108" w:type="dxa"/>
          </w:tblCellMar>
        </w:tblPrEx>
        <w:trPr>
          <w:trHeight w:val="1057" w:hRule="atLeast"/>
        </w:trPr>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14:paraId="5443AC4B">
            <w:pPr>
              <w:widowControl/>
              <w:jc w:val="left"/>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颗粒物、二氧化硫、林格曼黑度2次/年</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AFF2B66">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8次</w:t>
            </w:r>
          </w:p>
        </w:tc>
        <w:tc>
          <w:tcPr>
            <w:tcW w:w="2914" w:type="dxa"/>
            <w:gridSpan w:val="2"/>
            <w:tcBorders>
              <w:top w:val="single" w:color="auto" w:sz="4" w:space="0"/>
              <w:left w:val="nil"/>
              <w:bottom w:val="single" w:color="auto" w:sz="4" w:space="0"/>
              <w:right w:val="single" w:color="auto" w:sz="4" w:space="0"/>
            </w:tcBorders>
            <w:shd w:val="clear" w:color="auto" w:fill="auto"/>
            <w:vAlign w:val="center"/>
          </w:tcPr>
          <w:p w14:paraId="27F01068">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t>2600</w:t>
            </w:r>
          </w:p>
        </w:tc>
        <w:tc>
          <w:tcPr>
            <w:tcW w:w="1695" w:type="dxa"/>
            <w:tcBorders>
              <w:top w:val="single" w:color="auto" w:sz="4" w:space="0"/>
              <w:left w:val="nil"/>
              <w:bottom w:val="single" w:color="auto" w:sz="4" w:space="0"/>
              <w:right w:val="single" w:color="auto" w:sz="4" w:space="0"/>
            </w:tcBorders>
            <w:shd w:val="clear" w:color="auto" w:fill="auto"/>
            <w:vAlign w:val="center"/>
          </w:tcPr>
          <w:p w14:paraId="2DF14E5A">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c>
          <w:tcPr>
            <w:tcW w:w="1625" w:type="dxa"/>
            <w:vMerge w:val="continue"/>
            <w:tcBorders>
              <w:left w:val="nil"/>
              <w:bottom w:val="single" w:color="auto" w:sz="4" w:space="0"/>
              <w:right w:val="single" w:color="auto" w:sz="4" w:space="0"/>
            </w:tcBorders>
            <w:shd w:val="clear" w:color="auto" w:fill="auto"/>
            <w:vAlign w:val="center"/>
          </w:tcPr>
          <w:p w14:paraId="2EA826B0">
            <w:pPr>
              <w:widowControl/>
              <w:jc w:val="center"/>
              <w:rPr>
                <w:rFonts w:hint="eastAsia" w:ascii="仿宋_GB2312" w:hAnsi="微软雅黑" w:eastAsiaTheme="minorEastAsia" w:cstheme="minorBidi"/>
                <w:color w:val="000000" w:themeColor="text1"/>
                <w:spacing w:val="2"/>
                <w:kern w:val="2"/>
                <w:sz w:val="21"/>
                <w:szCs w:val="26"/>
                <w:shd w:val="clear" w:color="auto" w:fill="FFFFFF"/>
                <w:lang w:val="zh-TW" w:eastAsia="zh-CN" w:bidi="zh-CN"/>
                <w14:textFill>
                  <w14:solidFill>
                    <w14:schemeClr w14:val="tx1"/>
                  </w14:solidFill>
                </w14:textFill>
              </w:rPr>
            </w:pPr>
          </w:p>
        </w:tc>
      </w:tr>
    </w:tbl>
    <w:p w14:paraId="3EE3F764">
      <w:pPr>
        <w:widowControl/>
        <w:jc w:val="left"/>
        <w:rPr>
          <w:rFonts w:ascii="仿宋" w:hAnsi="仿宋" w:eastAsia="仿宋" w:cs="仿宋"/>
          <w:sz w:val="24"/>
          <w:szCs w:val="24"/>
          <w:lang w:val="zh-TW"/>
        </w:rPr>
      </w:pPr>
    </w:p>
    <w:p w14:paraId="03295931">
      <w:pPr>
        <w:widowControl/>
        <w:jc w:val="left"/>
        <w:rPr>
          <w:rFonts w:ascii="仿宋" w:hAnsi="仿宋" w:eastAsia="仿宋" w:cs="仿宋"/>
          <w:sz w:val="24"/>
          <w:szCs w:val="24"/>
          <w:lang w:val="zh-TW"/>
        </w:rPr>
      </w:pPr>
    </w:p>
    <w:p w14:paraId="2DAB069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444D9DFD">
      <w:pPr>
        <w:pStyle w:val="10"/>
        <w:rPr>
          <w:rFonts w:ascii="仿宋" w:hAnsi="仿宋" w:eastAsia="仿宋" w:cs="仿宋"/>
          <w:lang w:val="zh-TW" w:eastAsia="zh-TW"/>
        </w:rPr>
      </w:pPr>
    </w:p>
    <w:p w14:paraId="1659686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24B44DC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759E336C">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3"/>
        <w:numPr>
          <w:ilvl w:val="1"/>
          <w:numId w:val="9"/>
        </w:numPr>
        <w:jc w:val="both"/>
      </w:pPr>
      <w:r>
        <w:rPr>
          <w:rFonts w:hint="eastAsia"/>
        </w:rPr>
        <w:t>供应商认为需要提供的其他材料</w:t>
      </w:r>
      <w:bookmarkEnd w:id="76"/>
      <w:bookmarkEnd w:id="77"/>
      <w:bookmarkEnd w:id="78"/>
      <w:bookmarkEnd w:id="79"/>
      <w:bookmarkEnd w:id="80"/>
      <w:bookmarkEnd w:id="81"/>
    </w:p>
    <w:p w14:paraId="38D39139">
      <w:pPr>
        <w:pStyle w:val="10"/>
        <w:jc w:val="center"/>
        <w:rPr>
          <w:rFonts w:ascii="仿宋" w:hAnsi="仿宋" w:eastAsia="仿宋" w:cs="仿宋"/>
        </w:rPr>
      </w:pPr>
    </w:p>
    <w:p w14:paraId="08F9FA97">
      <w:pPr>
        <w:pStyle w:val="10"/>
        <w:jc w:val="center"/>
        <w:rPr>
          <w:rFonts w:ascii="仿宋" w:hAnsi="仿宋" w:eastAsia="仿宋" w:cs="仿宋"/>
        </w:rPr>
      </w:pPr>
    </w:p>
    <w:p w14:paraId="1CCF6A58">
      <w:pPr>
        <w:pStyle w:val="10"/>
        <w:jc w:val="center"/>
        <w:rPr>
          <w:rFonts w:ascii="仿宋" w:hAnsi="仿宋" w:eastAsia="仿宋" w:cs="仿宋"/>
        </w:rPr>
      </w:pPr>
    </w:p>
    <w:p w14:paraId="1D2C0268">
      <w:pPr>
        <w:pStyle w:val="10"/>
        <w:jc w:val="center"/>
        <w:rPr>
          <w:rFonts w:ascii="仿宋" w:hAnsi="仿宋" w:eastAsia="仿宋" w:cs="仿宋"/>
          <w:b/>
          <w:bCs/>
          <w:sz w:val="32"/>
          <w:szCs w:val="36"/>
        </w:rPr>
      </w:pPr>
      <w:r>
        <w:rPr>
          <w:rFonts w:hint="eastAsia" w:ascii="仿宋" w:hAnsi="仿宋" w:eastAsia="仿宋" w:cs="仿宋"/>
          <w:b/>
          <w:bCs/>
          <w:sz w:val="32"/>
          <w:szCs w:val="36"/>
        </w:rPr>
        <w:t>格式自拟</w:t>
      </w:r>
    </w:p>
    <w:p w14:paraId="1E4B212B">
      <w:pPr>
        <w:jc w:val="left"/>
        <w:rPr>
          <w:rFonts w:ascii="仿宋" w:hAnsi="仿宋" w:eastAsia="仿宋" w:cs="仿宋"/>
          <w:sz w:val="24"/>
          <w:szCs w:val="24"/>
          <w:u w:val="single"/>
        </w:rPr>
      </w:pPr>
      <w:bookmarkStart w:id="82" w:name="_Toc20691"/>
      <w:bookmarkStart w:id="83" w:name="_Toc5447"/>
      <w:r>
        <w:rPr>
          <w:rFonts w:hint="eastAsia" w:ascii="黑体" w:hAnsi="黑体" w:eastAsia="黑体" w:cs="黑体"/>
          <w:b/>
          <w:sz w:val="36"/>
          <w:szCs w:val="32"/>
        </w:rPr>
        <w:br w:type="page"/>
      </w:r>
      <w:bookmarkEnd w:id="82"/>
      <w:bookmarkEnd w:id="83"/>
    </w:p>
    <w:p w14:paraId="3321D059">
      <w:pPr>
        <w:rPr>
          <w:b/>
          <w:bCs/>
          <w:sz w:val="44"/>
          <w:szCs w:val="52"/>
        </w:rPr>
      </w:pPr>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A9D085-C4A2-4E04-ABC0-663EF322D40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0051E43-4D32-4A33-A173-7AFA424513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08788DB-66E9-406D-A677-49CB8BD24A8E}"/>
  </w:font>
  <w:font w:name="仿宋">
    <w:panose1 w:val="02010609060101010101"/>
    <w:charset w:val="86"/>
    <w:family w:val="modern"/>
    <w:pitch w:val="default"/>
    <w:sig w:usb0="800002BF" w:usb1="38CF7CFA" w:usb2="00000016" w:usb3="00000000" w:csb0="00040001" w:csb1="00000000"/>
    <w:embedRegular r:id="rId4" w:fontKey="{C23C4D01-98F0-40A4-8895-0B1272B9BD98}"/>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5" w:fontKey="{37DC9D69-A61B-41FB-B57E-41E814E38504}"/>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6" w:fontKey="{98957B56-054E-40B2-9CAA-5E7194EAAA4F}"/>
  </w:font>
  <w:font w:name="等线">
    <w:panose1 w:val="02010600030101010101"/>
    <w:charset w:val="86"/>
    <w:family w:val="auto"/>
    <w:pitch w:val="default"/>
    <w:sig w:usb0="A00002BF" w:usb1="38CF7CFA" w:usb2="00000016" w:usb3="00000000" w:csb0="0004000F" w:csb1="00000000"/>
    <w:embedRegular r:id="rId7" w:fontKey="{E8F09D75-FC6C-44AB-B531-ACF39A16214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6"/>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5EBAB16C"/>
    <w:multiLevelType w:val="singleLevel"/>
    <w:tmpl w:val="5EBAB16C"/>
    <w:lvl w:ilvl="0" w:tentative="0">
      <w:start w:val="5"/>
      <w:numFmt w:val="chineseCounting"/>
      <w:suff w:val="space"/>
      <w:lvlText w:val="第%1章"/>
      <w:lvlJc w:val="left"/>
      <w:rPr>
        <w:rFonts w:hint="eastAsia"/>
      </w:rPr>
    </w:lvl>
  </w:abstractNum>
  <w:abstractNum w:abstractNumId="17">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8"/>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E1AEE"/>
    <w:rsid w:val="00FF60E3"/>
    <w:rsid w:val="017D59D9"/>
    <w:rsid w:val="01FF1E15"/>
    <w:rsid w:val="02E34968"/>
    <w:rsid w:val="037B73C5"/>
    <w:rsid w:val="038E0C11"/>
    <w:rsid w:val="041D546A"/>
    <w:rsid w:val="04510922"/>
    <w:rsid w:val="058C78B0"/>
    <w:rsid w:val="05E13064"/>
    <w:rsid w:val="06043A48"/>
    <w:rsid w:val="06B15041"/>
    <w:rsid w:val="07275343"/>
    <w:rsid w:val="076444C8"/>
    <w:rsid w:val="078909F5"/>
    <w:rsid w:val="07CA7DEC"/>
    <w:rsid w:val="07E436C5"/>
    <w:rsid w:val="08CC67C9"/>
    <w:rsid w:val="091F389C"/>
    <w:rsid w:val="093A3733"/>
    <w:rsid w:val="0A5B6C7C"/>
    <w:rsid w:val="0AD74272"/>
    <w:rsid w:val="0B223ED3"/>
    <w:rsid w:val="0B395F4B"/>
    <w:rsid w:val="0B4276FF"/>
    <w:rsid w:val="0B4508AE"/>
    <w:rsid w:val="0BF34D9F"/>
    <w:rsid w:val="0BFA2787"/>
    <w:rsid w:val="0C375F99"/>
    <w:rsid w:val="0CD33899"/>
    <w:rsid w:val="0DD431BA"/>
    <w:rsid w:val="0DF04D08"/>
    <w:rsid w:val="0E0B7FF0"/>
    <w:rsid w:val="0E9A4D55"/>
    <w:rsid w:val="0EB75826"/>
    <w:rsid w:val="0F1E6969"/>
    <w:rsid w:val="0F23034D"/>
    <w:rsid w:val="0F2E7774"/>
    <w:rsid w:val="0F522C33"/>
    <w:rsid w:val="0FBF2BE4"/>
    <w:rsid w:val="10453CDC"/>
    <w:rsid w:val="111E5122"/>
    <w:rsid w:val="11230554"/>
    <w:rsid w:val="116752E1"/>
    <w:rsid w:val="117A5014"/>
    <w:rsid w:val="11B31C24"/>
    <w:rsid w:val="11BC3956"/>
    <w:rsid w:val="11C15BEE"/>
    <w:rsid w:val="11D34725"/>
    <w:rsid w:val="12592B05"/>
    <w:rsid w:val="12685DA4"/>
    <w:rsid w:val="127F05A0"/>
    <w:rsid w:val="12CC371E"/>
    <w:rsid w:val="12E75E98"/>
    <w:rsid w:val="12EA1E51"/>
    <w:rsid w:val="13542C29"/>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9130B8"/>
    <w:rsid w:val="17F1147E"/>
    <w:rsid w:val="18592901"/>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1F923E71"/>
    <w:rsid w:val="20580C17"/>
    <w:rsid w:val="20D97009"/>
    <w:rsid w:val="210C2FB0"/>
    <w:rsid w:val="2173335D"/>
    <w:rsid w:val="22691158"/>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0853A8"/>
    <w:rsid w:val="2A3335F4"/>
    <w:rsid w:val="2AAD33E1"/>
    <w:rsid w:val="2AE409B4"/>
    <w:rsid w:val="2AEF232A"/>
    <w:rsid w:val="2AF54989"/>
    <w:rsid w:val="2B7A1DE5"/>
    <w:rsid w:val="2C9A0A9E"/>
    <w:rsid w:val="2CC93AF1"/>
    <w:rsid w:val="2CCB09C2"/>
    <w:rsid w:val="2CE356C1"/>
    <w:rsid w:val="2CE462F8"/>
    <w:rsid w:val="2DA70D65"/>
    <w:rsid w:val="2DCB2E2D"/>
    <w:rsid w:val="2E8822E7"/>
    <w:rsid w:val="2F1C0375"/>
    <w:rsid w:val="2F966F61"/>
    <w:rsid w:val="305F1EED"/>
    <w:rsid w:val="312608BD"/>
    <w:rsid w:val="31F51A59"/>
    <w:rsid w:val="32724DD0"/>
    <w:rsid w:val="32CE4379"/>
    <w:rsid w:val="33C24ADF"/>
    <w:rsid w:val="343706EB"/>
    <w:rsid w:val="34496B55"/>
    <w:rsid w:val="34D80120"/>
    <w:rsid w:val="351A08D0"/>
    <w:rsid w:val="357519FC"/>
    <w:rsid w:val="35A61797"/>
    <w:rsid w:val="35D03474"/>
    <w:rsid w:val="35D74205"/>
    <w:rsid w:val="367D6EF4"/>
    <w:rsid w:val="37A9630A"/>
    <w:rsid w:val="37BF3B20"/>
    <w:rsid w:val="380B5401"/>
    <w:rsid w:val="38323B02"/>
    <w:rsid w:val="38AE5E8C"/>
    <w:rsid w:val="3A335BDD"/>
    <w:rsid w:val="3A631DBF"/>
    <w:rsid w:val="3A900FE8"/>
    <w:rsid w:val="3AF76D4D"/>
    <w:rsid w:val="3B4E7DFC"/>
    <w:rsid w:val="3C1C42E1"/>
    <w:rsid w:val="3C5B170F"/>
    <w:rsid w:val="3D375AA1"/>
    <w:rsid w:val="3D931F15"/>
    <w:rsid w:val="3DB777F7"/>
    <w:rsid w:val="3E535C46"/>
    <w:rsid w:val="3EA40469"/>
    <w:rsid w:val="3F762A0F"/>
    <w:rsid w:val="3FA84948"/>
    <w:rsid w:val="3FE34CD0"/>
    <w:rsid w:val="40B05AAD"/>
    <w:rsid w:val="41600431"/>
    <w:rsid w:val="41970CA5"/>
    <w:rsid w:val="42075FF8"/>
    <w:rsid w:val="42E77C3D"/>
    <w:rsid w:val="43B7159B"/>
    <w:rsid w:val="4440539A"/>
    <w:rsid w:val="44D13AF4"/>
    <w:rsid w:val="46271B24"/>
    <w:rsid w:val="465D0053"/>
    <w:rsid w:val="468567BB"/>
    <w:rsid w:val="4782487D"/>
    <w:rsid w:val="483002E2"/>
    <w:rsid w:val="4879128B"/>
    <w:rsid w:val="48C634C3"/>
    <w:rsid w:val="48D62926"/>
    <w:rsid w:val="49180694"/>
    <w:rsid w:val="49344560"/>
    <w:rsid w:val="495751DE"/>
    <w:rsid w:val="49B77EAC"/>
    <w:rsid w:val="49C6776A"/>
    <w:rsid w:val="4AB820A2"/>
    <w:rsid w:val="4ABB39CC"/>
    <w:rsid w:val="4AD11442"/>
    <w:rsid w:val="4AE50A49"/>
    <w:rsid w:val="4B4F618D"/>
    <w:rsid w:val="4BAD0151"/>
    <w:rsid w:val="4C8F75A2"/>
    <w:rsid w:val="4CB701C3"/>
    <w:rsid w:val="4D973688"/>
    <w:rsid w:val="4E59452C"/>
    <w:rsid w:val="4E7B4035"/>
    <w:rsid w:val="4E8C008E"/>
    <w:rsid w:val="4FD14828"/>
    <w:rsid w:val="506A72A7"/>
    <w:rsid w:val="50771A9C"/>
    <w:rsid w:val="50F56550"/>
    <w:rsid w:val="51D57A6A"/>
    <w:rsid w:val="52EC23F5"/>
    <w:rsid w:val="532C5467"/>
    <w:rsid w:val="53706852"/>
    <w:rsid w:val="53854CE8"/>
    <w:rsid w:val="53BF0A7B"/>
    <w:rsid w:val="5455382C"/>
    <w:rsid w:val="545E542E"/>
    <w:rsid w:val="566B5FD6"/>
    <w:rsid w:val="568C0876"/>
    <w:rsid w:val="56A53892"/>
    <w:rsid w:val="5728175E"/>
    <w:rsid w:val="572D64B0"/>
    <w:rsid w:val="5734171E"/>
    <w:rsid w:val="57C512E5"/>
    <w:rsid w:val="580B5743"/>
    <w:rsid w:val="586B0701"/>
    <w:rsid w:val="58AB32D2"/>
    <w:rsid w:val="58BD4DB3"/>
    <w:rsid w:val="59710D46"/>
    <w:rsid w:val="59CC068D"/>
    <w:rsid w:val="5A6223A5"/>
    <w:rsid w:val="5B243E89"/>
    <w:rsid w:val="5B5A4B3C"/>
    <w:rsid w:val="5B800F26"/>
    <w:rsid w:val="5BCC6458"/>
    <w:rsid w:val="5C124930"/>
    <w:rsid w:val="5C4A7838"/>
    <w:rsid w:val="5C9A22F9"/>
    <w:rsid w:val="5DBF13D4"/>
    <w:rsid w:val="5E40270F"/>
    <w:rsid w:val="5E543889"/>
    <w:rsid w:val="5EB9456E"/>
    <w:rsid w:val="5EFC3EB9"/>
    <w:rsid w:val="5F796A42"/>
    <w:rsid w:val="60605BAC"/>
    <w:rsid w:val="60C53B7A"/>
    <w:rsid w:val="60D602FB"/>
    <w:rsid w:val="60D92922"/>
    <w:rsid w:val="60DE30BD"/>
    <w:rsid w:val="60E308E3"/>
    <w:rsid w:val="611E37D0"/>
    <w:rsid w:val="62330506"/>
    <w:rsid w:val="62515B87"/>
    <w:rsid w:val="62AB1B1D"/>
    <w:rsid w:val="62C51434"/>
    <w:rsid w:val="632E2511"/>
    <w:rsid w:val="63553057"/>
    <w:rsid w:val="63A9427A"/>
    <w:rsid w:val="63AB062A"/>
    <w:rsid w:val="63CC2581"/>
    <w:rsid w:val="63D462B1"/>
    <w:rsid w:val="641A3596"/>
    <w:rsid w:val="647C6435"/>
    <w:rsid w:val="65770634"/>
    <w:rsid w:val="65E40ADA"/>
    <w:rsid w:val="66330B86"/>
    <w:rsid w:val="66422221"/>
    <w:rsid w:val="664803B2"/>
    <w:rsid w:val="66A70F60"/>
    <w:rsid w:val="66E22203"/>
    <w:rsid w:val="66E87583"/>
    <w:rsid w:val="67133952"/>
    <w:rsid w:val="67330CCC"/>
    <w:rsid w:val="67C95196"/>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A91E26"/>
    <w:rsid w:val="70E60EF4"/>
    <w:rsid w:val="71104836"/>
    <w:rsid w:val="71646B2B"/>
    <w:rsid w:val="71B12785"/>
    <w:rsid w:val="71CB7ED7"/>
    <w:rsid w:val="71E250B7"/>
    <w:rsid w:val="72D75444"/>
    <w:rsid w:val="72ED1754"/>
    <w:rsid w:val="73634FBB"/>
    <w:rsid w:val="74054476"/>
    <w:rsid w:val="741C016E"/>
    <w:rsid w:val="743E1047"/>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9F0530A"/>
    <w:rsid w:val="7A28257D"/>
    <w:rsid w:val="7B550DA5"/>
    <w:rsid w:val="7B5F74F8"/>
    <w:rsid w:val="7B690630"/>
    <w:rsid w:val="7B975062"/>
    <w:rsid w:val="7BA4104A"/>
    <w:rsid w:val="7BB6153E"/>
    <w:rsid w:val="7BB816DF"/>
    <w:rsid w:val="7CE74C9B"/>
    <w:rsid w:val="7CF47CCC"/>
    <w:rsid w:val="7D040AB6"/>
    <w:rsid w:val="7D4119E6"/>
    <w:rsid w:val="7D9A0E89"/>
    <w:rsid w:val="7DBE2B71"/>
    <w:rsid w:val="7E2E0BED"/>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basedOn w:val="1"/>
    <w:next w:val="1"/>
    <w:link w:val="44"/>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leftChars="1400" w:right="320"/>
    </w:pPr>
  </w:style>
  <w:style w:type="paragraph" w:styleId="6">
    <w:name w:val="Normal Indent"/>
    <w:basedOn w:val="1"/>
    <w:next w:val="1"/>
    <w:qFormat/>
    <w:uiPriority w:val="0"/>
    <w:pPr>
      <w:ind w:firstLine="420" w:firstLineChars="200"/>
    </w:pPr>
    <w:rPr>
      <w:kern w:val="0"/>
      <w:sz w:val="24"/>
      <w:szCs w:val="20"/>
    </w:rPr>
  </w:style>
  <w:style w:type="paragraph" w:styleId="7">
    <w:name w:val="toa heading"/>
    <w:basedOn w:val="1"/>
    <w:next w:val="1"/>
    <w:unhideWhenUsed/>
    <w:qFormat/>
    <w:uiPriority w:val="99"/>
    <w:pPr>
      <w:spacing w:before="120"/>
    </w:pPr>
    <w:rPr>
      <w:rFonts w:asciiTheme="majorHAnsi" w:hAnsiTheme="majorHAnsi" w:eastAsiaTheme="majorEastAsia" w:cstheme="majorBidi"/>
    </w:rPr>
  </w:style>
  <w:style w:type="paragraph" w:styleId="8">
    <w:name w:val="annotation text"/>
    <w:basedOn w:val="1"/>
    <w:link w:val="41"/>
    <w:qFormat/>
    <w:uiPriority w:val="0"/>
    <w:pPr>
      <w:jc w:val="left"/>
    </w:pPr>
  </w:style>
  <w:style w:type="paragraph" w:styleId="9">
    <w:name w:val="Body Text 3"/>
    <w:basedOn w:val="1"/>
    <w:unhideWhenUsed/>
    <w:qFormat/>
    <w:uiPriority w:val="0"/>
    <w:pPr>
      <w:spacing w:after="120"/>
    </w:pPr>
    <w:rPr>
      <w:sz w:val="16"/>
      <w:szCs w:val="16"/>
    </w:rPr>
  </w:style>
  <w:style w:type="paragraph" w:styleId="10">
    <w:name w:val="Body Text"/>
    <w:basedOn w:val="1"/>
    <w:next w:val="5"/>
    <w:qFormat/>
    <w:uiPriority w:val="0"/>
    <w:pPr>
      <w:spacing w:after="120"/>
    </w:pPr>
  </w:style>
  <w:style w:type="paragraph" w:styleId="11">
    <w:name w:val="Body Text Indent"/>
    <w:basedOn w:val="1"/>
    <w:unhideWhenUsed/>
    <w:qFormat/>
    <w:uiPriority w:val="99"/>
    <w:pPr>
      <w:ind w:firstLine="630"/>
    </w:pPr>
    <w:rPr>
      <w:rFonts w:ascii="Calibri"/>
      <w:sz w:val="32"/>
      <w:szCs w:val="20"/>
    </w:rPr>
  </w:style>
  <w:style w:type="paragraph" w:styleId="12">
    <w:name w:val="Body Text Indent 2"/>
    <w:basedOn w:val="1"/>
    <w:link w:val="36"/>
    <w:qFormat/>
    <w:uiPriority w:val="0"/>
    <w:pPr>
      <w:spacing w:after="120" w:line="480" w:lineRule="auto"/>
      <w:ind w:left="420" w:leftChars="200"/>
    </w:pPr>
    <w:rPr>
      <w:szCs w:val="20"/>
    </w:rPr>
  </w:style>
  <w:style w:type="paragraph" w:styleId="13">
    <w:name w:val="Balloon Text"/>
    <w:basedOn w:val="1"/>
    <w:link w:val="43"/>
    <w:qFormat/>
    <w:uiPriority w:val="0"/>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rPr>
      <w:rFonts w:ascii="Arial" w:hAnsi="Arial"/>
    </w:rPr>
  </w:style>
  <w:style w:type="paragraph" w:styleId="16">
    <w:name w:val="header"/>
    <w:basedOn w:val="1"/>
    <w:next w:val="10"/>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unhideWhenUsed/>
    <w:qFormat/>
    <w:uiPriority w:val="99"/>
    <w:pPr>
      <w:widowControl/>
      <w:spacing w:after="120" w:line="480" w:lineRule="auto"/>
    </w:pPr>
  </w:style>
  <w:style w:type="paragraph" w:styleId="19">
    <w:name w:val="annotation subject"/>
    <w:basedOn w:val="8"/>
    <w:next w:val="8"/>
    <w:link w:val="42"/>
    <w:qFormat/>
    <w:uiPriority w:val="0"/>
    <w:rPr>
      <w:b/>
      <w:bCs/>
    </w:rPr>
  </w:style>
  <w:style w:type="paragraph" w:styleId="20">
    <w:name w:val="Body Text First Indent"/>
    <w:basedOn w:val="10"/>
    <w:link w:val="37"/>
    <w:qFormat/>
    <w:uiPriority w:val="0"/>
    <w:pPr>
      <w:snapToGrid w:val="0"/>
      <w:spacing w:before="40" w:after="40" w:line="288" w:lineRule="auto"/>
      <w:ind w:firstLine="482"/>
    </w:pPr>
    <w:rPr>
      <w:rFonts w:ascii="仿宋_GB2312" w:hAnsi="仿宋_GB2312" w:eastAsia="仿宋_GB2312"/>
      <w:szCs w:val="20"/>
    </w:rPr>
  </w:style>
  <w:style w:type="paragraph" w:styleId="21">
    <w:name w:val="Body Text First Indent 2"/>
    <w:basedOn w:val="11"/>
    <w:next w:val="1"/>
    <w:link w:val="40"/>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paragraph" w:customStyle="1" w:styleId="27">
    <w:name w:val="Default"/>
    <w:next w:val="2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大标题"/>
    <w:basedOn w:val="1"/>
    <w:next w:val="21"/>
    <w:qFormat/>
    <w:uiPriority w:val="0"/>
    <w:pPr>
      <w:jc w:val="center"/>
    </w:pPr>
    <w:rPr>
      <w:rFonts w:ascii="Arial" w:hAnsi="Arial" w:eastAsia="宋体"/>
      <w:b/>
      <w:sz w:val="28"/>
      <w:szCs w:val="24"/>
    </w:rPr>
  </w:style>
  <w:style w:type="paragraph" w:customStyle="1" w:styleId="29">
    <w:name w:val="标题 5（有编号）（绿盟科技）"/>
    <w:basedOn w:val="30"/>
    <w:next w:val="3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13、表格内居中正文"/>
    <w:basedOn w:val="1"/>
    <w:qFormat/>
    <w:uiPriority w:val="0"/>
    <w:pPr>
      <w:wordWrap w:val="0"/>
      <w:topLinePunct/>
      <w:spacing w:line="360" w:lineRule="exact"/>
      <w:jc w:val="center"/>
    </w:pPr>
    <w:rPr>
      <w:rFonts w:ascii="宋体" w:hAnsi="宋体" w:eastAsia="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4">
    <w:name w:val="List Paragraph"/>
    <w:basedOn w:val="1"/>
    <w:qFormat/>
    <w:uiPriority w:val="0"/>
    <w:pPr>
      <w:spacing w:line="500" w:lineRule="exact"/>
      <w:ind w:firstLine="420" w:firstLineChars="200"/>
    </w:pPr>
    <w:rPr>
      <w:szCs w:val="24"/>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正文文本缩进 2 字符"/>
    <w:link w:val="12"/>
    <w:qFormat/>
    <w:uiPriority w:val="0"/>
    <w:rPr>
      <w:szCs w:val="20"/>
    </w:rPr>
  </w:style>
  <w:style w:type="character" w:customStyle="1" w:styleId="37">
    <w:name w:val="正文首行缩进 字符"/>
    <w:link w:val="20"/>
    <w:qFormat/>
    <w:uiPriority w:val="0"/>
    <w:rPr>
      <w:rFonts w:ascii="仿宋_GB2312" w:hAnsi="仿宋_GB2312" w:eastAsia="仿宋_GB2312"/>
      <w:szCs w:val="20"/>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9">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0">
    <w:name w:val="正文首行缩进 2 字符"/>
    <w:link w:val="21"/>
    <w:qFormat/>
    <w:uiPriority w:val="99"/>
    <w:rPr>
      <w:rFonts w:ascii="宋体" w:hAnsi="Times New Roman"/>
      <w:kern w:val="0"/>
      <w:sz w:val="21"/>
      <w:szCs w:val="24"/>
    </w:rPr>
  </w:style>
  <w:style w:type="character" w:customStyle="1" w:styleId="41">
    <w:name w:val="批注文字 字符"/>
    <w:basedOn w:val="24"/>
    <w:link w:val="8"/>
    <w:qFormat/>
    <w:uiPriority w:val="0"/>
    <w:rPr>
      <w:kern w:val="2"/>
      <w:sz w:val="21"/>
      <w:szCs w:val="22"/>
    </w:rPr>
  </w:style>
  <w:style w:type="character" w:customStyle="1" w:styleId="42">
    <w:name w:val="批注主题 字符"/>
    <w:basedOn w:val="41"/>
    <w:link w:val="19"/>
    <w:qFormat/>
    <w:uiPriority w:val="0"/>
    <w:rPr>
      <w:b/>
      <w:bCs/>
      <w:kern w:val="2"/>
      <w:sz w:val="21"/>
      <w:szCs w:val="22"/>
    </w:rPr>
  </w:style>
  <w:style w:type="character" w:customStyle="1" w:styleId="43">
    <w:name w:val="批注框文本 字符"/>
    <w:basedOn w:val="24"/>
    <w:link w:val="13"/>
    <w:qFormat/>
    <w:uiPriority w:val="0"/>
    <w:rPr>
      <w:kern w:val="2"/>
      <w:sz w:val="18"/>
      <w:szCs w:val="18"/>
    </w:rPr>
  </w:style>
  <w:style w:type="character" w:customStyle="1" w:styleId="44">
    <w:name w:val="标题 2 字符"/>
    <w:link w:val="3"/>
    <w:qFormat/>
    <w:uiPriority w:val="0"/>
    <w:rPr>
      <w:rFonts w:ascii="Times New Roman" w:hAnsi="Times New Roman" w:eastAsia="仿宋" w:cs="Times New Roman"/>
      <w:b/>
      <w:sz w:val="32"/>
    </w:rPr>
  </w:style>
  <w:style w:type="paragraph" w:customStyle="1" w:styleId="45">
    <w:name w:val="_Style 2"/>
    <w:basedOn w:val="1"/>
    <w:qFormat/>
    <w:uiPriority w:val="0"/>
    <w:pPr>
      <w:ind w:firstLine="420" w:firstLineChars="200"/>
    </w:pPr>
    <w:rPr>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列出段落1"/>
    <w:basedOn w:val="1"/>
    <w:qFormat/>
    <w:uiPriority w:val="0"/>
    <w:pPr>
      <w:ind w:firstLine="420" w:firstLineChars="200"/>
    </w:pPr>
    <w:rPr>
      <w:rFonts w:ascii="Times New Roman" w:hAnsi="Times New Roman" w:eastAsia="宋体" w:cs="Times New Roman"/>
      <w:szCs w:val="20"/>
    </w:rPr>
  </w:style>
  <w:style w:type="character" w:customStyle="1" w:styleId="48">
    <w:name w:val="页脚 字符"/>
    <w:basedOn w:val="24"/>
    <w:link w:val="14"/>
    <w:qFormat/>
    <w:uiPriority w:val="99"/>
    <w:rPr>
      <w:rFonts w:asciiTheme="minorHAnsi" w:hAnsiTheme="minorHAnsi" w:eastAsiaTheme="minorEastAsia" w:cstheme="minorBidi"/>
      <w:kern w:val="2"/>
      <w:sz w:val="18"/>
      <w:szCs w:val="18"/>
    </w:rPr>
  </w:style>
  <w:style w:type="character" w:customStyle="1" w:styleId="49">
    <w:name w:val="页眉 字符"/>
    <w:basedOn w:val="24"/>
    <w:link w:val="16"/>
    <w:qFormat/>
    <w:uiPriority w:val="99"/>
    <w:rPr>
      <w:rFonts w:asciiTheme="minorHAnsi" w:hAnsiTheme="minorHAnsi" w:eastAsiaTheme="minorEastAsia" w:cstheme="minorBidi"/>
      <w:kern w:val="2"/>
      <w:sz w:val="18"/>
      <w:szCs w:val="18"/>
    </w:rPr>
  </w:style>
  <w:style w:type="paragraph" w:customStyle="1" w:styleId="50">
    <w:name w:val="列表段落1"/>
    <w:basedOn w:val="1"/>
    <w:autoRedefine/>
    <w:qFormat/>
    <w:uiPriority w:val="34"/>
    <w:pPr>
      <w:ind w:firstLine="420" w:firstLineChars="200"/>
    </w:pPr>
  </w:style>
  <w:style w:type="paragraph" w:customStyle="1" w:styleId="51">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2">
    <w:name w:val="正文空2字"/>
    <w:basedOn w:val="18"/>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标书_表格正文"/>
    <w:autoRedefine/>
    <w:qFormat/>
    <w:uiPriority w:val="0"/>
    <w:rPr>
      <w:rFonts w:ascii="宋体" w:hAnsi="宋体" w:eastAsia="宋体" w:cstheme="minorBidi"/>
      <w:kern w:val="2"/>
      <w:sz w:val="21"/>
      <w:szCs w:val="21"/>
      <w:lang w:val="en-US" w:eastAsia="zh-CN" w:bidi="ar-SA"/>
    </w:rPr>
  </w:style>
  <w:style w:type="character" w:customStyle="1" w:styleId="57">
    <w:name w:val="font11"/>
    <w:basedOn w:val="2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29</Pages>
  <Words>4689</Words>
  <Characters>4783</Characters>
  <Lines>60</Lines>
  <Paragraphs>16</Paragraphs>
  <TotalTime>0</TotalTime>
  <ScaleCrop>false</ScaleCrop>
  <LinksUpToDate>false</LinksUpToDate>
  <CharactersWithSpaces>4878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2026-06-04T06:41:34Z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