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139号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婴儿培养箱</w:t>
      </w:r>
    </w:p>
    <w:p w14:paraId="411F97D1">
      <w:pPr>
        <w:rPr>
          <w:rFonts w:hint="eastAsia" w:ascii="宋体" w:hAnsi="宋体"/>
          <w:b/>
          <w:color w:val="000000"/>
          <w:sz w:val="36"/>
        </w:rPr>
      </w:pPr>
    </w:p>
    <w:p w14:paraId="4968C931">
      <w:pPr>
        <w:rPr>
          <w:rFonts w:hint="eastAsia" w:ascii="宋体" w:hAnsi="宋体"/>
          <w:b/>
          <w:color w:val="000000"/>
          <w:sz w:val="36"/>
        </w:rPr>
      </w:pPr>
    </w:p>
    <w:p w14:paraId="05557A00">
      <w:pPr>
        <w:rPr>
          <w:rFonts w:hint="eastAsia" w:ascii="宋体" w:hAnsi="宋体"/>
          <w:b/>
          <w:color w:val="000000"/>
          <w:sz w:val="36"/>
        </w:rPr>
      </w:pPr>
    </w:p>
    <w:p w14:paraId="4F840FA9">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7"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婴儿培养箱</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6）139号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28万元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李老师 15881650086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19400"/>
      <w:bookmarkStart w:id="3" w:name="_Toc28050"/>
      <w:bookmarkStart w:id="4" w:name="_Toc5431"/>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2165A75D">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如果投标产品为进口医疗器械产品，进口医疗器械代理人需具备医疗器械经营许可证或经营备案凭证。</w:t>
            </w:r>
          </w:p>
          <w:p w14:paraId="60CE68B2">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如果投标产品为国产医疗器械产品，生产厂家需具备医疗器械生产许可证。</w:t>
            </w:r>
          </w:p>
          <w:p w14:paraId="1ADE8C25">
            <w:pPr>
              <w:pStyle w:val="27"/>
              <w:numPr>
                <w:ilvl w:val="0"/>
                <w:numId w:val="18"/>
              </w:numPr>
              <w:spacing w:line="240" w:lineRule="exact"/>
              <w:ind w:left="425" w:leftChars="0" w:hanging="425" w:firstLineChars="0"/>
              <w:jc w:val="both"/>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投标人需具备医疗器械经营许可证或经营备案凭证。</w:t>
            </w:r>
          </w:p>
          <w:p w14:paraId="4D0EB444">
            <w:pPr>
              <w:numPr>
                <w:ilvl w:val="0"/>
                <w:numId w:val="18"/>
              </w:numPr>
              <w:ind w:left="425" w:leftChars="0" w:hanging="425" w:firstLineChars="0"/>
              <w:jc w:val="both"/>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所投产品为医疗器械的需具备中华人民共和国医疗器械注册证或备案凭证。</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3988"/>
      <w:bookmarkStart w:id="6" w:name="_Toc1266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9"/>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宋体" w:hAnsi="宋体" w:eastAsia="宋体" w:cs="宋体"/>
          <w:b w:val="0"/>
          <w:bCs w:val="0"/>
          <w:sz w:val="21"/>
          <w:szCs w:val="21"/>
          <w:lang w:val="en-US" w:eastAsia="zh-CN"/>
        </w:rPr>
      </w:pPr>
      <w:r>
        <w:rPr>
          <w:rFonts w:hint="eastAsia"/>
          <w:kern w:val="0"/>
          <w:sz w:val="24"/>
          <w:szCs w:val="24"/>
          <w:lang w:val="en-US" w:eastAsia="zh-CN"/>
        </w:rPr>
        <w:t>绵阳市中心医院儿科因业务工作需要，申请购买8套婴儿培养箱。</w:t>
      </w:r>
    </w:p>
    <w:p w14:paraId="29B914A7">
      <w:pPr>
        <w:numPr>
          <w:ilvl w:val="0"/>
          <w:numId w:val="19"/>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60245EC8">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bookmarkStart w:id="8" w:name="_Hlk169603590"/>
      <w:r>
        <w:rPr>
          <w:rFonts w:hint="eastAsia" w:cs="宋体" w:asciiTheme="minorEastAsia" w:hAnsiTheme="minorEastAsia" w:eastAsiaTheme="minorEastAsia"/>
          <w:color w:val="000000"/>
          <w:sz w:val="24"/>
          <w:szCs w:val="24"/>
        </w:rPr>
        <w:t>操作窗≥6个，具有正门独立锁定装置。</w:t>
      </w:r>
    </w:p>
    <w:bookmarkEnd w:id="8"/>
    <w:p w14:paraId="69E2505D">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color w:val="000000"/>
          <w:sz w:val="24"/>
          <w:szCs w:val="24"/>
        </w:rPr>
        <w:t>具有脉搏血氧监测功能</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在低灌注和体动状态下可有效测量血氧脉搏</w:t>
      </w:r>
      <w:r>
        <w:rPr>
          <w:rFonts w:hint="eastAsia" w:cs="宋体" w:asciiTheme="minorEastAsia" w:hAnsiTheme="minorEastAsia"/>
          <w:color w:val="000000"/>
          <w:sz w:val="24"/>
          <w:szCs w:val="24"/>
          <w:lang w:eastAsia="zh-CN"/>
        </w:rPr>
        <w:t>。</w:t>
      </w:r>
    </w:p>
    <w:p w14:paraId="564B8943">
      <w:pPr>
        <w:numPr>
          <w:ilvl w:val="0"/>
          <w:numId w:val="20"/>
        </w:numPr>
        <w:spacing w:line="420" w:lineRule="exact"/>
        <w:ind w:left="425" w:leftChars="0" w:hanging="425" w:firstLineChars="0"/>
        <w:rPr>
          <w:rFonts w:hint="eastAsia"/>
        </w:rPr>
      </w:pPr>
      <w:r>
        <w:rPr>
          <w:rFonts w:hint="eastAsia" w:cs="宋体" w:asciiTheme="minorEastAsia" w:hAnsiTheme="minorEastAsia" w:eastAsiaTheme="minorEastAsia"/>
          <w:color w:val="000000"/>
          <w:sz w:val="24"/>
          <w:szCs w:val="24"/>
        </w:rPr>
        <w:t>具有双面蓝光治疗功能，提供注册</w:t>
      </w:r>
      <w:r>
        <w:rPr>
          <w:rFonts w:hint="eastAsia" w:cs="宋体" w:asciiTheme="minorEastAsia" w:hAnsiTheme="minorEastAsia"/>
          <w:color w:val="000000"/>
          <w:sz w:val="24"/>
          <w:szCs w:val="24"/>
          <w:lang w:val="en-US" w:eastAsia="zh-CN"/>
        </w:rPr>
        <w:t>证或说明书</w:t>
      </w:r>
      <w:r>
        <w:rPr>
          <w:rFonts w:hint="eastAsia" w:cs="宋体" w:asciiTheme="minorEastAsia" w:hAnsiTheme="minorEastAsia" w:eastAsiaTheme="minorEastAsia"/>
          <w:color w:val="000000"/>
          <w:sz w:val="24"/>
          <w:szCs w:val="24"/>
        </w:rPr>
        <w:t>证</w:t>
      </w:r>
      <w:r>
        <w:rPr>
          <w:rFonts w:hint="eastAsia" w:cs="宋体" w:asciiTheme="minorEastAsia" w:hAnsiTheme="minorEastAsia"/>
          <w:color w:val="000000"/>
          <w:sz w:val="24"/>
          <w:szCs w:val="24"/>
          <w:lang w:val="en-US" w:eastAsia="zh-CN"/>
        </w:rPr>
        <w:t>明。</w:t>
      </w:r>
    </w:p>
    <w:p w14:paraId="1E4E70C3">
      <w:pPr>
        <w:numPr>
          <w:ilvl w:val="0"/>
          <w:numId w:val="20"/>
        </w:numPr>
        <w:spacing w:line="420" w:lineRule="exact"/>
        <w:ind w:left="425" w:leftChars="0" w:hanging="425" w:firstLineChars="0"/>
        <w:rPr>
          <w:rFonts w:hint="eastAsia"/>
        </w:rPr>
      </w:pPr>
      <w:r>
        <w:rPr>
          <w:rFonts w:hint="eastAsia" w:cs="宋体" w:asciiTheme="minorEastAsia" w:hAnsiTheme="minorEastAsia"/>
          <w:color w:val="000000"/>
          <w:sz w:val="24"/>
          <w:szCs w:val="24"/>
          <w:lang w:val="en-US" w:eastAsia="zh-CN"/>
        </w:rPr>
        <w:t>具有称重功能</w:t>
      </w:r>
      <w:r>
        <w:rPr>
          <w:rFonts w:hint="eastAsia" w:cs="宋体" w:asciiTheme="minorEastAsia" w:hAnsiTheme="minorEastAsia" w:eastAsiaTheme="minorEastAsia"/>
          <w:color w:val="000000"/>
          <w:sz w:val="24"/>
          <w:szCs w:val="24"/>
        </w:rPr>
        <w:t>。</w:t>
      </w:r>
    </w:p>
    <w:p w14:paraId="59229682">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全触摸</w:t>
      </w:r>
      <w:r>
        <w:rPr>
          <w:rFonts w:hint="eastAsia" w:cs="宋体" w:asciiTheme="minorEastAsia" w:hAnsiTheme="minorEastAsia"/>
          <w:color w:val="000000"/>
          <w:sz w:val="24"/>
          <w:szCs w:val="24"/>
          <w:lang w:val="en-US" w:eastAsia="zh-CN"/>
        </w:rPr>
        <w:t>屏</w:t>
      </w:r>
      <w:r>
        <w:rPr>
          <w:rFonts w:hint="eastAsia" w:cs="宋体" w:asciiTheme="minorEastAsia" w:hAnsiTheme="minorEastAsia" w:eastAsiaTheme="minorEastAsia"/>
          <w:color w:val="000000"/>
          <w:sz w:val="24"/>
          <w:szCs w:val="24"/>
        </w:rPr>
        <w:t>可视化操作，有倒计时、顺计时工作模式，</w:t>
      </w:r>
      <w:r>
        <w:rPr>
          <w:rFonts w:hint="eastAsia" w:cs="宋体" w:asciiTheme="minorEastAsia" w:hAnsiTheme="minorEastAsia"/>
          <w:color w:val="000000"/>
          <w:sz w:val="24"/>
          <w:szCs w:val="24"/>
          <w:lang w:val="en-US" w:eastAsia="zh-CN"/>
        </w:rPr>
        <w:t>可</w:t>
      </w:r>
      <w:r>
        <w:rPr>
          <w:rFonts w:hint="eastAsia" w:cs="宋体" w:asciiTheme="minorEastAsia" w:hAnsiTheme="minorEastAsia" w:eastAsiaTheme="minorEastAsia"/>
          <w:color w:val="000000"/>
          <w:sz w:val="24"/>
          <w:szCs w:val="24"/>
        </w:rPr>
        <w:t>实现蓝光亮度的无级可调</w:t>
      </w:r>
      <w:r>
        <w:rPr>
          <w:rFonts w:hint="eastAsia" w:cs="宋体" w:asciiTheme="minorEastAsia" w:hAnsiTheme="minorEastAsia"/>
          <w:color w:val="000000"/>
          <w:sz w:val="24"/>
          <w:szCs w:val="24"/>
          <w:lang w:eastAsia="zh-CN"/>
        </w:rPr>
        <w:t>。</w:t>
      </w:r>
    </w:p>
    <w:p w14:paraId="1EF4CDBF">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color w:val="000000"/>
          <w:sz w:val="24"/>
          <w:szCs w:val="24"/>
          <w:lang w:val="en-US" w:eastAsia="zh-CN"/>
        </w:rPr>
        <w:t>具有</w:t>
      </w:r>
      <w:r>
        <w:rPr>
          <w:rFonts w:hint="eastAsia" w:cs="宋体" w:asciiTheme="minorEastAsia" w:hAnsiTheme="minorEastAsia" w:eastAsiaTheme="minorEastAsia"/>
          <w:color w:val="000000"/>
          <w:sz w:val="24"/>
          <w:szCs w:val="24"/>
        </w:rPr>
        <w:t>LED光源</w:t>
      </w:r>
      <w:r>
        <w:rPr>
          <w:rFonts w:hint="eastAsia" w:cs="宋体" w:asciiTheme="minorEastAsia" w:hAnsiTheme="minorEastAsia"/>
          <w:color w:val="000000"/>
          <w:sz w:val="24"/>
          <w:szCs w:val="24"/>
          <w:lang w:eastAsia="zh-CN"/>
        </w:rPr>
        <w:t>。</w:t>
      </w:r>
    </w:p>
    <w:p w14:paraId="3085EE08">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婴儿床倾斜角度无级可调，方便临床护理</w:t>
      </w:r>
      <w:r>
        <w:rPr>
          <w:rFonts w:hint="eastAsia" w:cs="宋体" w:asciiTheme="minorEastAsia" w:hAnsiTheme="minorEastAsia"/>
          <w:color w:val="000000"/>
          <w:sz w:val="24"/>
          <w:szCs w:val="24"/>
          <w:lang w:eastAsia="zh-CN"/>
        </w:rPr>
        <w:t>。</w:t>
      </w:r>
    </w:p>
    <w:p w14:paraId="0EB3648A">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color w:val="000000"/>
          <w:sz w:val="24"/>
          <w:szCs w:val="24"/>
          <w:lang w:val="en-US" w:eastAsia="zh-CN"/>
        </w:rPr>
        <w:t>具有</w:t>
      </w:r>
      <w:r>
        <w:rPr>
          <w:rFonts w:hint="eastAsia" w:cs="宋体" w:asciiTheme="minorEastAsia" w:hAnsiTheme="minorEastAsia" w:eastAsiaTheme="minorEastAsia"/>
          <w:color w:val="000000"/>
          <w:sz w:val="24"/>
          <w:szCs w:val="24"/>
        </w:rPr>
        <w:t>可折叠托盘，方便收起，无需拆卸</w:t>
      </w:r>
      <w:r>
        <w:rPr>
          <w:rFonts w:hint="eastAsia" w:cs="宋体" w:asciiTheme="minorEastAsia" w:hAnsiTheme="minorEastAsia"/>
          <w:color w:val="000000"/>
          <w:sz w:val="24"/>
          <w:szCs w:val="24"/>
          <w:lang w:eastAsia="zh-CN"/>
        </w:rPr>
        <w:t>。</w:t>
      </w:r>
    </w:p>
    <w:p w14:paraId="1324BB62">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正门双重保险设计，双重防护避免正门意外打开</w:t>
      </w:r>
      <w:r>
        <w:rPr>
          <w:rFonts w:hint="eastAsia" w:cs="宋体" w:asciiTheme="minorEastAsia" w:hAnsiTheme="minorEastAsia"/>
          <w:color w:val="000000"/>
          <w:sz w:val="24"/>
          <w:szCs w:val="24"/>
          <w:lang w:eastAsia="zh-CN"/>
        </w:rPr>
        <w:t>。</w:t>
      </w:r>
    </w:p>
    <w:p w14:paraId="03354964">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color w:val="000000"/>
          <w:sz w:val="24"/>
          <w:szCs w:val="24"/>
          <w:lang w:val="en-US" w:eastAsia="zh-CN"/>
        </w:rPr>
        <w:t>具有</w:t>
      </w:r>
      <w:r>
        <w:rPr>
          <w:rFonts w:hint="eastAsia" w:cs="宋体" w:asciiTheme="minorEastAsia" w:hAnsiTheme="minorEastAsia" w:eastAsiaTheme="minorEastAsia"/>
          <w:color w:val="000000"/>
          <w:sz w:val="24"/>
          <w:szCs w:val="24"/>
        </w:rPr>
        <w:t>独立的超温保护系统，多种故障报警提示，提供多重安全防护</w:t>
      </w:r>
      <w:r>
        <w:rPr>
          <w:rFonts w:hint="eastAsia" w:cs="宋体" w:asciiTheme="minorEastAsia" w:hAnsiTheme="minorEastAsia"/>
          <w:color w:val="000000"/>
          <w:sz w:val="24"/>
          <w:szCs w:val="24"/>
          <w:lang w:eastAsia="zh-CN"/>
        </w:rPr>
        <w:t>。</w:t>
      </w:r>
    </w:p>
    <w:p w14:paraId="61F33E85">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具有湿度控制、数据储存功能</w:t>
      </w:r>
      <w:r>
        <w:rPr>
          <w:rFonts w:hint="eastAsia" w:cs="宋体" w:asciiTheme="minorEastAsia" w:hAnsiTheme="minorEastAsia"/>
          <w:color w:val="000000"/>
          <w:sz w:val="24"/>
          <w:szCs w:val="24"/>
          <w:lang w:eastAsia="zh-CN"/>
        </w:rPr>
        <w:t>。</w:t>
      </w:r>
    </w:p>
    <w:p w14:paraId="78104BF5">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温度控制模式：</w:t>
      </w:r>
      <w:r>
        <w:rPr>
          <w:rFonts w:hint="eastAsia" w:cs="宋体" w:asciiTheme="minorEastAsia" w:hAnsiTheme="minorEastAsia"/>
          <w:color w:val="000000"/>
          <w:sz w:val="24"/>
          <w:szCs w:val="24"/>
          <w:lang w:val="en-US" w:eastAsia="zh-CN"/>
        </w:rPr>
        <w:t>具有</w:t>
      </w:r>
      <w:r>
        <w:rPr>
          <w:rFonts w:hint="eastAsia" w:cs="宋体" w:asciiTheme="minorEastAsia" w:hAnsiTheme="minorEastAsia" w:eastAsiaTheme="minorEastAsia"/>
          <w:color w:val="000000"/>
          <w:sz w:val="24"/>
          <w:szCs w:val="24"/>
        </w:rPr>
        <w:t>箱温和肤温控制</w:t>
      </w:r>
      <w:r>
        <w:rPr>
          <w:rFonts w:hint="eastAsia" w:cs="宋体" w:asciiTheme="minorEastAsia" w:hAnsiTheme="minorEastAsia"/>
          <w:color w:val="000000"/>
          <w:sz w:val="24"/>
          <w:szCs w:val="24"/>
          <w:lang w:val="en-US" w:eastAsia="zh-CN"/>
        </w:rPr>
        <w:t>模式。</w:t>
      </w:r>
    </w:p>
    <w:p w14:paraId="682299E2">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温控范围：箱温控制温度范围：</w:t>
      </w:r>
      <w:r>
        <w:rPr>
          <w:rFonts w:hint="eastAsia" w:cs="宋体" w:asciiTheme="minorEastAsia" w:hAnsiTheme="minorEastAsia"/>
          <w:color w:val="000000"/>
          <w:sz w:val="24"/>
          <w:szCs w:val="24"/>
          <w:lang w:val="en-US" w:eastAsia="zh-CN"/>
        </w:rPr>
        <w:t>≥</w:t>
      </w:r>
      <w:r>
        <w:rPr>
          <w:rFonts w:hint="eastAsia" w:cs="宋体" w:asciiTheme="minorEastAsia" w:hAnsiTheme="minorEastAsia" w:eastAsiaTheme="minorEastAsia"/>
          <w:color w:val="000000"/>
          <w:sz w:val="24"/>
          <w:szCs w:val="24"/>
        </w:rPr>
        <w:t>25℃～37℃，肤温控制温度范围：</w:t>
      </w:r>
      <w:r>
        <w:rPr>
          <w:rFonts w:hint="eastAsia" w:cs="宋体" w:asciiTheme="minorEastAsia" w:hAnsiTheme="minorEastAsia"/>
          <w:color w:val="000000"/>
          <w:sz w:val="24"/>
          <w:szCs w:val="24"/>
          <w:lang w:val="en-US" w:eastAsia="zh-CN"/>
        </w:rPr>
        <w:t>≥</w:t>
      </w:r>
      <w:r>
        <w:rPr>
          <w:rFonts w:hint="eastAsia" w:cs="宋体" w:asciiTheme="minorEastAsia" w:hAnsiTheme="minorEastAsia" w:eastAsiaTheme="minorEastAsia"/>
          <w:color w:val="000000"/>
          <w:sz w:val="24"/>
          <w:szCs w:val="24"/>
        </w:rPr>
        <w:t>34℃～37℃</w:t>
      </w:r>
      <w:r>
        <w:rPr>
          <w:rFonts w:hint="eastAsia" w:cs="宋体" w:asciiTheme="minorEastAsia" w:hAnsiTheme="minorEastAsia"/>
          <w:color w:val="000000"/>
          <w:sz w:val="24"/>
          <w:szCs w:val="24"/>
          <w:lang w:eastAsia="zh-CN"/>
        </w:rPr>
        <w:t>。</w:t>
      </w:r>
    </w:p>
    <w:p w14:paraId="12766CB7">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箱温模式和肤温模式的温度显示范围：</w:t>
      </w:r>
      <w:r>
        <w:rPr>
          <w:rFonts w:hint="eastAsia" w:cs="宋体" w:asciiTheme="minorEastAsia" w:hAnsiTheme="minorEastAsia"/>
          <w:color w:val="000000"/>
          <w:sz w:val="24"/>
          <w:szCs w:val="24"/>
          <w:lang w:val="en-US" w:eastAsia="zh-CN"/>
        </w:rPr>
        <w:t>≥10</w:t>
      </w:r>
      <w:r>
        <w:rPr>
          <w:rFonts w:hint="eastAsia" w:cs="宋体" w:asciiTheme="minorEastAsia" w:hAnsiTheme="minorEastAsia" w:eastAsiaTheme="minorEastAsia"/>
          <w:color w:val="000000"/>
          <w:sz w:val="24"/>
          <w:szCs w:val="24"/>
        </w:rPr>
        <w:t>℃～</w:t>
      </w:r>
      <w:r>
        <w:rPr>
          <w:rFonts w:hint="eastAsia" w:cs="宋体" w:asciiTheme="minorEastAsia" w:hAnsiTheme="minorEastAsia"/>
          <w:color w:val="000000"/>
          <w:sz w:val="24"/>
          <w:szCs w:val="24"/>
          <w:lang w:val="en-US" w:eastAsia="zh-CN"/>
        </w:rPr>
        <w:t>50</w:t>
      </w:r>
      <w:r>
        <w:rPr>
          <w:rFonts w:hint="eastAsia" w:cs="宋体" w:asciiTheme="minorEastAsia" w:hAnsiTheme="minorEastAsia" w:eastAsiaTheme="minorEastAsia"/>
          <w:color w:val="000000"/>
          <w:sz w:val="24"/>
          <w:szCs w:val="24"/>
        </w:rPr>
        <w:t>℃</w:t>
      </w:r>
      <w:r>
        <w:rPr>
          <w:rFonts w:hint="eastAsia" w:cs="宋体" w:asciiTheme="minorEastAsia" w:hAnsiTheme="minorEastAsia"/>
          <w:color w:val="000000"/>
          <w:sz w:val="24"/>
          <w:szCs w:val="24"/>
          <w:lang w:eastAsia="zh-CN"/>
        </w:rPr>
        <w:t>。</w:t>
      </w:r>
    </w:p>
    <w:p w14:paraId="64355463">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升温时间：</w:t>
      </w:r>
      <w:r>
        <w:rPr>
          <w:rFonts w:hint="eastAsia" w:cs="宋体" w:asciiTheme="minorEastAsia" w:hAnsiTheme="minorEastAsia"/>
          <w:color w:val="000000"/>
          <w:sz w:val="24"/>
          <w:szCs w:val="24"/>
          <w:lang w:val="en-US" w:eastAsia="zh-CN"/>
        </w:rPr>
        <w:t>从环境温度升温至37</w:t>
      </w:r>
      <w:r>
        <w:rPr>
          <w:rFonts w:hint="eastAsia" w:cs="宋体" w:asciiTheme="minorEastAsia" w:hAnsiTheme="minorEastAsia" w:eastAsiaTheme="minorEastAsia"/>
          <w:color w:val="000000"/>
          <w:sz w:val="24"/>
          <w:szCs w:val="24"/>
        </w:rPr>
        <w:t>℃</w:t>
      </w:r>
      <w:r>
        <w:rPr>
          <w:rFonts w:hint="eastAsia" w:cs="宋体" w:asciiTheme="minorEastAsia" w:hAnsiTheme="minorEastAsia"/>
          <w:color w:val="000000"/>
          <w:sz w:val="24"/>
          <w:szCs w:val="24"/>
          <w:lang w:eastAsia="zh-CN"/>
        </w:rPr>
        <w:t>的</w:t>
      </w:r>
      <w:r>
        <w:rPr>
          <w:rFonts w:hint="eastAsia" w:cs="宋体" w:asciiTheme="minorEastAsia" w:hAnsiTheme="minorEastAsia"/>
          <w:color w:val="000000"/>
          <w:sz w:val="24"/>
          <w:szCs w:val="24"/>
          <w:lang w:val="en-US" w:eastAsia="zh-CN"/>
        </w:rPr>
        <w:t>时间</w:t>
      </w:r>
      <w:r>
        <w:rPr>
          <w:rFonts w:hint="eastAsia" w:cs="宋体" w:asciiTheme="minorEastAsia" w:hAnsiTheme="minorEastAsia" w:eastAsiaTheme="minorEastAsia"/>
          <w:color w:val="000000"/>
          <w:sz w:val="24"/>
          <w:szCs w:val="24"/>
        </w:rPr>
        <w:t>≤ 30分钟</w:t>
      </w:r>
      <w:r>
        <w:rPr>
          <w:rFonts w:hint="eastAsia" w:cs="宋体" w:asciiTheme="minorEastAsia" w:hAnsiTheme="minorEastAsia"/>
          <w:color w:val="000000"/>
          <w:sz w:val="24"/>
          <w:szCs w:val="24"/>
          <w:lang w:eastAsia="zh-CN"/>
        </w:rPr>
        <w:t>。</w:t>
      </w:r>
    </w:p>
    <w:p w14:paraId="4BA0DA48">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温度均匀性：≤0.8℃</w:t>
      </w:r>
      <w:r>
        <w:rPr>
          <w:rFonts w:hint="eastAsia" w:cs="宋体" w:asciiTheme="minorEastAsia" w:hAnsiTheme="minorEastAsia"/>
          <w:color w:val="000000"/>
          <w:sz w:val="24"/>
          <w:szCs w:val="24"/>
          <w:lang w:eastAsia="zh-CN"/>
        </w:rPr>
        <w:t>。</w:t>
      </w:r>
    </w:p>
    <w:p w14:paraId="74E2CAE7">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皮肤温度传感器精度：±0.2℃内</w:t>
      </w:r>
    </w:p>
    <w:p w14:paraId="3B8EFC73">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箱内噪音：≤45dB(A)（稳定状态）</w:t>
      </w:r>
    </w:p>
    <w:p w14:paraId="5673BD5C">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上</w:t>
      </w:r>
      <w:r>
        <w:rPr>
          <w:rFonts w:hint="eastAsia" w:cs="宋体" w:asciiTheme="minorEastAsia" w:hAnsiTheme="minorEastAsia"/>
          <w:color w:val="000000"/>
          <w:sz w:val="24"/>
          <w:szCs w:val="24"/>
          <w:lang w:eastAsia="zh-CN"/>
        </w:rPr>
        <w:t>、</w:t>
      </w:r>
      <w:r>
        <w:rPr>
          <w:rFonts w:hint="eastAsia" w:cs="宋体" w:asciiTheme="minorEastAsia" w:hAnsiTheme="minorEastAsia"/>
          <w:color w:val="000000"/>
          <w:sz w:val="24"/>
          <w:szCs w:val="24"/>
          <w:lang w:val="en-US" w:eastAsia="zh-CN"/>
        </w:rPr>
        <w:t>下</w:t>
      </w:r>
      <w:r>
        <w:rPr>
          <w:rFonts w:hint="eastAsia" w:cs="宋体" w:asciiTheme="minorEastAsia" w:hAnsiTheme="minorEastAsia" w:eastAsiaTheme="minorEastAsia"/>
          <w:color w:val="000000"/>
          <w:sz w:val="24"/>
          <w:szCs w:val="24"/>
        </w:rPr>
        <w:t>黄疸治疗装置：</w:t>
      </w:r>
      <w:r>
        <w:rPr>
          <w:rFonts w:hint="eastAsia" w:cs="宋体" w:asciiTheme="minorEastAsia" w:hAnsiTheme="minorEastAsia"/>
          <w:color w:val="000000"/>
          <w:sz w:val="24"/>
          <w:szCs w:val="24"/>
          <w:lang w:val="en-US" w:eastAsia="zh-CN"/>
        </w:rPr>
        <w:t>上光疗总辐照度：≥3.7mW/cm²‌</w:t>
      </w:r>
      <w:r>
        <w:rPr>
          <w:rFonts w:hint="eastAsia" w:cs="宋体" w:asciiTheme="minorEastAsia" w:hAnsiTheme="minorEastAsia"/>
          <w:color w:val="000000"/>
          <w:sz w:val="24"/>
          <w:szCs w:val="24"/>
          <w:lang w:eastAsia="zh-CN"/>
        </w:rPr>
        <w:t>，下光疗总辐照度：≥0.8mW/</w:t>
      </w:r>
      <w:r>
        <w:rPr>
          <w:rFonts w:hint="eastAsia" w:cs="宋体" w:asciiTheme="minorEastAsia" w:hAnsiTheme="minorEastAsia"/>
          <w:color w:val="000000"/>
          <w:sz w:val="24"/>
          <w:szCs w:val="24"/>
          <w:lang w:val="en-US" w:eastAsia="zh-CN"/>
        </w:rPr>
        <w:t>cm²</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使用期限</w:t>
      </w:r>
      <w:r>
        <w:rPr>
          <w:rFonts w:hint="eastAsia" w:cs="宋体" w:asciiTheme="minorEastAsia" w:hAnsiTheme="minorEastAsia"/>
          <w:color w:val="000000"/>
          <w:sz w:val="24"/>
          <w:szCs w:val="24"/>
          <w:lang w:val="en-US" w:eastAsia="zh-CN"/>
        </w:rPr>
        <w:t>≥</w:t>
      </w:r>
      <w:r>
        <w:rPr>
          <w:rFonts w:hint="eastAsia" w:cs="宋体" w:asciiTheme="minorEastAsia" w:hAnsiTheme="minorEastAsia" w:eastAsiaTheme="minorEastAsia"/>
          <w:color w:val="000000"/>
          <w:sz w:val="24"/>
          <w:szCs w:val="24"/>
        </w:rPr>
        <w:t>50000小时</w:t>
      </w:r>
      <w:r>
        <w:rPr>
          <w:rFonts w:hint="eastAsia" w:cs="宋体" w:asciiTheme="minorEastAsia" w:hAnsiTheme="minorEastAsia"/>
          <w:color w:val="000000"/>
          <w:sz w:val="24"/>
          <w:szCs w:val="24"/>
          <w:lang w:eastAsia="zh-CN"/>
        </w:rPr>
        <w:t>。</w:t>
      </w:r>
    </w:p>
    <w:p w14:paraId="4C2E92A5">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脉搏血氧性能指标：</w:t>
      </w:r>
      <w:r>
        <w:rPr>
          <w:rFonts w:cs="宋体" w:asciiTheme="minorEastAsia" w:hAnsiTheme="minorEastAsia" w:eastAsiaTheme="minorEastAsia"/>
          <w:color w:val="000000"/>
          <w:sz w:val="24"/>
          <w:szCs w:val="24"/>
        </w:rPr>
        <w:t>SpO</w:t>
      </w:r>
      <w:r>
        <w:rPr>
          <w:rFonts w:eastAsiaTheme="minorEastAsia"/>
          <w:color w:val="000000"/>
          <w:sz w:val="24"/>
          <w:szCs w:val="24"/>
        </w:rPr>
        <w:t>₂</w:t>
      </w:r>
      <w:r>
        <w:rPr>
          <w:rFonts w:cs="宋体" w:asciiTheme="minorEastAsia" w:hAnsiTheme="minorEastAsia" w:eastAsiaTheme="minorEastAsia"/>
          <w:color w:val="000000"/>
          <w:sz w:val="24"/>
          <w:szCs w:val="24"/>
        </w:rPr>
        <w:t xml:space="preserve"> </w:t>
      </w:r>
      <w:r>
        <w:rPr>
          <w:rFonts w:hint="eastAsia" w:cs="宋体" w:asciiTheme="minorEastAsia" w:hAnsiTheme="minorEastAsia" w:eastAsiaTheme="minorEastAsia"/>
          <w:color w:val="000000"/>
          <w:sz w:val="24"/>
          <w:szCs w:val="24"/>
        </w:rPr>
        <w:t>显示范围</w:t>
      </w:r>
      <w:r>
        <w:rPr>
          <w:rFonts w:cs="宋体" w:asciiTheme="minorEastAsia" w:hAnsiTheme="minorEastAsia" w:eastAsiaTheme="minorEastAsia"/>
          <w:color w:val="000000"/>
          <w:sz w:val="24"/>
          <w:szCs w:val="24"/>
        </w:rPr>
        <w:t>1%</w:t>
      </w:r>
      <w:r>
        <w:rPr>
          <w:rFonts w:hint="eastAsia" w:cs="宋体" w:asciiTheme="minorEastAsia" w:hAnsiTheme="minorEastAsia" w:eastAsiaTheme="minorEastAsia"/>
          <w:color w:val="000000"/>
          <w:sz w:val="24"/>
          <w:szCs w:val="24"/>
        </w:rPr>
        <w:t>～</w:t>
      </w:r>
      <w:r>
        <w:rPr>
          <w:rFonts w:cs="宋体" w:asciiTheme="minorEastAsia" w:hAnsiTheme="minorEastAsia" w:eastAsiaTheme="minorEastAsia"/>
          <w:color w:val="000000"/>
          <w:sz w:val="24"/>
          <w:szCs w:val="24"/>
        </w:rPr>
        <w:t>100%</w:t>
      </w:r>
      <w:r>
        <w:rPr>
          <w:rFonts w:hint="eastAsia" w:cs="宋体" w:asciiTheme="minorEastAsia" w:hAnsiTheme="minorEastAsia"/>
          <w:color w:val="000000"/>
          <w:sz w:val="24"/>
          <w:szCs w:val="24"/>
          <w:lang w:eastAsia="zh-CN"/>
        </w:rPr>
        <w:t>。</w:t>
      </w:r>
    </w:p>
    <w:p w14:paraId="172765CF">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报警项目：</w:t>
      </w:r>
      <w:r>
        <w:rPr>
          <w:rFonts w:hint="eastAsia" w:cs="宋体" w:asciiTheme="minorEastAsia" w:hAnsiTheme="minorEastAsia"/>
          <w:color w:val="000000"/>
          <w:sz w:val="24"/>
          <w:szCs w:val="24"/>
          <w:lang w:val="en-US" w:eastAsia="zh-CN"/>
        </w:rPr>
        <w:t>具有</w:t>
      </w:r>
      <w:r>
        <w:rPr>
          <w:rFonts w:hint="eastAsia" w:cs="宋体" w:asciiTheme="minorEastAsia" w:hAnsiTheme="minorEastAsia" w:eastAsiaTheme="minorEastAsia"/>
          <w:color w:val="000000"/>
          <w:sz w:val="24"/>
          <w:szCs w:val="24"/>
        </w:rPr>
        <w:t>断电报警</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风机故障</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温度传感器故障</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偏差报警</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超温报警</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系统故障</w:t>
      </w:r>
      <w:r>
        <w:rPr>
          <w:rFonts w:hint="eastAsia" w:cs="宋体" w:asciiTheme="minorEastAsia" w:hAnsiTheme="minorEastAsia"/>
          <w:color w:val="000000"/>
          <w:sz w:val="24"/>
          <w:szCs w:val="24"/>
          <w:lang w:val="en-US" w:eastAsia="zh-CN"/>
        </w:rPr>
        <w:t>报警</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湿度偏差</w:t>
      </w:r>
      <w:r>
        <w:rPr>
          <w:rFonts w:hint="eastAsia" w:cs="宋体" w:asciiTheme="minorEastAsia" w:hAnsiTheme="minorEastAsia"/>
          <w:color w:val="000000"/>
          <w:sz w:val="24"/>
          <w:szCs w:val="24"/>
          <w:lang w:val="en-US" w:eastAsia="zh-CN"/>
        </w:rPr>
        <w:t>报警</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湿度传感器故障</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缺水</w:t>
      </w:r>
      <w:r>
        <w:rPr>
          <w:rFonts w:hint="eastAsia" w:cs="宋体" w:asciiTheme="minorEastAsia" w:hAnsiTheme="minorEastAsia"/>
          <w:color w:val="000000"/>
          <w:sz w:val="24"/>
          <w:szCs w:val="24"/>
          <w:lang w:val="en-US" w:eastAsia="zh-CN"/>
        </w:rPr>
        <w:t>报警</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血氧报警</w:t>
      </w:r>
      <w:r>
        <w:rPr>
          <w:rFonts w:hint="eastAsia" w:cs="宋体" w:asciiTheme="minorEastAsia" w:hAnsiTheme="minorEastAsia"/>
          <w:color w:val="000000"/>
          <w:sz w:val="24"/>
          <w:szCs w:val="24"/>
          <w:lang w:eastAsia="zh-CN"/>
        </w:rPr>
        <w:t>、</w:t>
      </w:r>
      <w:r>
        <w:rPr>
          <w:rFonts w:cs="宋体" w:asciiTheme="minorEastAsia" w:hAnsiTheme="minorEastAsia" w:eastAsiaTheme="minorEastAsia"/>
          <w:color w:val="000000"/>
          <w:sz w:val="24"/>
          <w:szCs w:val="24"/>
        </w:rPr>
        <w:t>SpO</w:t>
      </w:r>
      <w:r>
        <w:rPr>
          <w:rFonts w:eastAsiaTheme="minorEastAsia"/>
          <w:color w:val="000000"/>
          <w:sz w:val="24"/>
          <w:szCs w:val="24"/>
        </w:rPr>
        <w:t>₂</w:t>
      </w:r>
      <w:r>
        <w:rPr>
          <w:rFonts w:hint="eastAsia" w:cs="宋体" w:asciiTheme="minorEastAsia" w:hAnsiTheme="minorEastAsia" w:eastAsiaTheme="minorEastAsia"/>
          <w:color w:val="000000"/>
          <w:sz w:val="24"/>
          <w:szCs w:val="24"/>
        </w:rPr>
        <w:t>上限报警</w:t>
      </w:r>
      <w:r>
        <w:rPr>
          <w:rFonts w:hint="eastAsia" w:cs="宋体" w:asciiTheme="minorEastAsia" w:hAnsiTheme="minorEastAsia"/>
          <w:color w:val="000000"/>
          <w:sz w:val="24"/>
          <w:szCs w:val="24"/>
          <w:lang w:eastAsia="zh-CN"/>
        </w:rPr>
        <w:t>、</w:t>
      </w:r>
      <w:r>
        <w:rPr>
          <w:rFonts w:cs="宋体" w:asciiTheme="minorEastAsia" w:hAnsiTheme="minorEastAsia" w:eastAsiaTheme="minorEastAsia"/>
          <w:color w:val="000000"/>
          <w:sz w:val="24"/>
          <w:szCs w:val="24"/>
        </w:rPr>
        <w:t>SpO</w:t>
      </w:r>
      <w:r>
        <w:rPr>
          <w:rFonts w:eastAsiaTheme="minorEastAsia"/>
          <w:color w:val="000000"/>
          <w:sz w:val="24"/>
          <w:szCs w:val="24"/>
        </w:rPr>
        <w:t>₂</w:t>
      </w:r>
      <w:r>
        <w:rPr>
          <w:rFonts w:hint="eastAsia" w:cs="宋体" w:asciiTheme="minorEastAsia" w:hAnsiTheme="minorEastAsia" w:eastAsiaTheme="minorEastAsia"/>
          <w:color w:val="000000"/>
          <w:sz w:val="24"/>
          <w:szCs w:val="24"/>
        </w:rPr>
        <w:t>下限报警</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脉搏上限报警</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脉搏下限报警</w:t>
      </w:r>
      <w:r>
        <w:rPr>
          <w:rFonts w:hint="eastAsia" w:cs="宋体" w:asciiTheme="minorEastAsia" w:hAnsiTheme="minorEastAsia"/>
          <w:color w:val="000000"/>
          <w:sz w:val="24"/>
          <w:szCs w:val="24"/>
          <w:lang w:val="en-US" w:eastAsia="zh-CN"/>
        </w:rPr>
        <w:t>等</w:t>
      </w:r>
      <w:r>
        <w:rPr>
          <w:rFonts w:hint="eastAsia" w:cs="宋体" w:asciiTheme="minorEastAsia" w:hAnsiTheme="minorEastAsia" w:eastAsiaTheme="minorEastAsia"/>
          <w:color w:val="000000"/>
          <w:sz w:val="24"/>
          <w:szCs w:val="24"/>
        </w:rPr>
        <w:t>。</w:t>
      </w:r>
    </w:p>
    <w:p w14:paraId="5D796182">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color w:val="000000"/>
          <w:sz w:val="24"/>
          <w:szCs w:val="24"/>
          <w:lang w:val="en-US" w:eastAsia="zh-CN"/>
        </w:rPr>
        <w:t>具有输液架，</w:t>
      </w:r>
      <w:r>
        <w:rPr>
          <w:rFonts w:hint="eastAsia" w:cs="宋体" w:asciiTheme="minorEastAsia" w:hAnsiTheme="minorEastAsia" w:eastAsiaTheme="minorEastAsia"/>
          <w:color w:val="000000"/>
          <w:sz w:val="24"/>
          <w:szCs w:val="24"/>
        </w:rPr>
        <w:t>输液架最大承载重量：</w:t>
      </w:r>
      <w:r>
        <w:rPr>
          <w:rFonts w:hint="eastAsia" w:cs="宋体" w:asciiTheme="minorEastAsia" w:hAnsiTheme="minorEastAsia"/>
          <w:color w:val="000000"/>
          <w:sz w:val="24"/>
          <w:szCs w:val="24"/>
          <w:lang w:val="en-US" w:eastAsia="zh-CN"/>
        </w:rPr>
        <w:t>≥</w:t>
      </w:r>
      <w:r>
        <w:rPr>
          <w:rFonts w:hint="eastAsia" w:cs="宋体" w:asciiTheme="minorEastAsia" w:hAnsiTheme="minorEastAsia" w:eastAsiaTheme="minorEastAsia"/>
          <w:color w:val="000000"/>
          <w:sz w:val="24"/>
          <w:szCs w:val="24"/>
        </w:rPr>
        <w:t>2kg</w:t>
      </w:r>
      <w:r>
        <w:rPr>
          <w:rFonts w:hint="eastAsia" w:cs="宋体" w:asciiTheme="minorEastAsia" w:hAnsiTheme="minorEastAsia"/>
          <w:color w:val="000000"/>
          <w:sz w:val="24"/>
          <w:szCs w:val="24"/>
          <w:lang w:eastAsia="zh-CN"/>
        </w:rPr>
        <w:t>。</w:t>
      </w:r>
    </w:p>
    <w:p w14:paraId="149E919E">
      <w:pPr>
        <w:numPr>
          <w:ilvl w:val="0"/>
          <w:numId w:val="20"/>
        </w:numPr>
        <w:spacing w:line="420" w:lineRule="exact"/>
        <w:ind w:left="425" w:leftChars="0" w:hanging="425" w:firstLine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可折叠托盘最大承载重量：</w:t>
      </w:r>
      <w:r>
        <w:rPr>
          <w:rFonts w:hint="eastAsia" w:cs="宋体" w:asciiTheme="minorEastAsia" w:hAnsiTheme="minorEastAsia"/>
          <w:color w:val="000000"/>
          <w:sz w:val="24"/>
          <w:szCs w:val="24"/>
          <w:lang w:val="en-US" w:eastAsia="zh-CN"/>
        </w:rPr>
        <w:t>≥</w:t>
      </w:r>
      <w:r>
        <w:rPr>
          <w:rFonts w:hint="eastAsia" w:cs="宋体" w:asciiTheme="minorEastAsia" w:hAnsiTheme="minorEastAsia" w:eastAsiaTheme="minorEastAsia"/>
          <w:color w:val="000000"/>
          <w:sz w:val="24"/>
          <w:szCs w:val="24"/>
        </w:rPr>
        <w:t>2kg</w:t>
      </w:r>
      <w:r>
        <w:rPr>
          <w:rFonts w:hint="eastAsia" w:cs="宋体" w:asciiTheme="minorEastAsia" w:hAnsiTheme="minorEastAsia"/>
          <w:color w:val="000000"/>
          <w:sz w:val="24"/>
          <w:szCs w:val="24"/>
          <w:lang w:eastAsia="zh-CN"/>
        </w:rPr>
        <w:t>。</w:t>
      </w:r>
    </w:p>
    <w:p w14:paraId="27BF6B93">
      <w:pPr>
        <w:numPr>
          <w:ilvl w:val="0"/>
          <w:numId w:val="20"/>
        </w:numPr>
        <w:spacing w:line="360" w:lineRule="auto"/>
        <w:ind w:left="425" w:leftChars="0" w:hanging="425" w:firstLineChars="0"/>
        <w:rPr>
          <w:rFonts w:hint="eastAsia" w:ascii="宋体" w:hAnsi="宋体" w:eastAsia="宋体" w:cs="宋体"/>
          <w:sz w:val="24"/>
        </w:rPr>
      </w:pPr>
      <w:r>
        <w:rPr>
          <w:rFonts w:hint="eastAsia" w:cs="宋体" w:asciiTheme="minorEastAsia" w:hAnsiTheme="minorEastAsia" w:eastAsiaTheme="minorEastAsia"/>
          <w:color w:val="000000"/>
          <w:sz w:val="24"/>
          <w:szCs w:val="24"/>
        </w:rPr>
        <w:t>水箱</w:t>
      </w:r>
      <w:r>
        <w:rPr>
          <w:rFonts w:hint="eastAsia" w:cs="宋体" w:asciiTheme="minorEastAsia" w:hAnsiTheme="minorEastAsia"/>
          <w:color w:val="000000"/>
          <w:sz w:val="24"/>
          <w:szCs w:val="24"/>
          <w:lang w:eastAsia="zh-CN"/>
        </w:rPr>
        <w:t>：</w:t>
      </w:r>
      <w:r>
        <w:rPr>
          <w:rFonts w:hint="eastAsia" w:cs="宋体" w:asciiTheme="minorEastAsia" w:hAnsiTheme="minorEastAsia" w:eastAsiaTheme="minorEastAsia"/>
          <w:color w:val="000000"/>
          <w:sz w:val="24"/>
          <w:szCs w:val="24"/>
        </w:rPr>
        <w:t>容量≥1</w:t>
      </w:r>
      <w:r>
        <w:rPr>
          <w:rFonts w:hint="eastAsia" w:cs="宋体" w:asciiTheme="minorEastAsia" w:hAnsiTheme="minorEastAsia"/>
          <w:color w:val="000000"/>
          <w:sz w:val="24"/>
          <w:szCs w:val="24"/>
          <w:lang w:val="en-US" w:eastAsia="zh-CN"/>
        </w:rPr>
        <w:t>5</w:t>
      </w:r>
      <w:r>
        <w:rPr>
          <w:rFonts w:hint="eastAsia" w:cs="宋体" w:asciiTheme="minorEastAsia" w:hAnsiTheme="minorEastAsia" w:eastAsiaTheme="minorEastAsia"/>
          <w:color w:val="000000"/>
          <w:sz w:val="24"/>
          <w:szCs w:val="24"/>
        </w:rPr>
        <w:t>00ml，</w:t>
      </w:r>
      <w:r>
        <w:rPr>
          <w:rFonts w:hint="eastAsia" w:cs="宋体" w:asciiTheme="minorEastAsia" w:hAnsiTheme="minorEastAsia"/>
          <w:color w:val="000000"/>
          <w:sz w:val="24"/>
          <w:szCs w:val="24"/>
          <w:lang w:val="en-US" w:eastAsia="zh-CN"/>
        </w:rPr>
        <w:t>支持</w:t>
      </w:r>
      <w:r>
        <w:rPr>
          <w:rFonts w:hint="eastAsia" w:cs="宋体" w:asciiTheme="minorEastAsia" w:hAnsiTheme="minorEastAsia" w:eastAsiaTheme="minorEastAsia"/>
          <w:color w:val="000000"/>
          <w:sz w:val="24"/>
          <w:szCs w:val="24"/>
        </w:rPr>
        <w:t>高温高压消毒</w:t>
      </w:r>
      <w:r>
        <w:rPr>
          <w:rFonts w:hint="eastAsia" w:cs="宋体" w:asciiTheme="minorEastAsia" w:hAnsiTheme="minorEastAsia"/>
          <w:color w:val="000000"/>
          <w:sz w:val="24"/>
          <w:szCs w:val="24"/>
          <w:lang w:eastAsia="zh-CN"/>
        </w:rPr>
        <w:t>。</w:t>
      </w:r>
    </w:p>
    <w:p w14:paraId="74DF9A59">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numPr>
          <w:numId w:val="0"/>
        </w:numPr>
        <w:spacing w:line="420" w:lineRule="exact"/>
        <w:ind w:left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1、成交供应商需在30日内与采购人签订</w:t>
      </w:r>
      <w:r>
        <w:rPr>
          <w:rFonts w:hint="eastAsia" w:cs="宋体" w:asciiTheme="minorEastAsia" w:hAnsiTheme="minorEastAsia" w:eastAsiaTheme="minorEastAsia"/>
          <w:color w:val="000000"/>
          <w:sz w:val="24"/>
          <w:szCs w:val="24"/>
          <w:lang w:val="en-US" w:eastAsia="zh-CN"/>
        </w:rPr>
        <w:t>合同</w:t>
      </w:r>
      <w:r>
        <w:rPr>
          <w:rFonts w:hint="eastAsia" w:cs="宋体" w:asciiTheme="minorEastAsia" w:hAnsiTheme="minorEastAsia" w:eastAsiaTheme="minorEastAsia"/>
          <w:color w:val="000000"/>
          <w:sz w:val="24"/>
          <w:szCs w:val="24"/>
        </w:rPr>
        <w:t>，签订</w:t>
      </w:r>
      <w:r>
        <w:rPr>
          <w:rFonts w:hint="eastAsia" w:cs="宋体" w:asciiTheme="minorEastAsia" w:hAnsiTheme="minorEastAsia" w:eastAsiaTheme="minorEastAsia"/>
          <w:color w:val="000000"/>
          <w:sz w:val="24"/>
          <w:szCs w:val="24"/>
          <w:lang w:val="en-US" w:eastAsia="zh-CN"/>
        </w:rPr>
        <w:t>合同</w:t>
      </w:r>
      <w:r>
        <w:rPr>
          <w:rFonts w:hint="eastAsia" w:cs="宋体" w:asciiTheme="minorEastAsia" w:hAnsiTheme="minorEastAsia" w:eastAsiaTheme="minorEastAsia"/>
          <w:color w:val="000000"/>
          <w:sz w:val="24"/>
          <w:szCs w:val="24"/>
        </w:rPr>
        <w:t>后</w:t>
      </w:r>
      <w:r>
        <w:rPr>
          <w:rFonts w:hint="eastAsia" w:cs="宋体" w:asciiTheme="minorEastAsia" w:hAnsiTheme="minorEastAsia" w:eastAsiaTheme="minorEastAsia"/>
          <w:color w:val="000000"/>
          <w:sz w:val="24"/>
          <w:szCs w:val="24"/>
          <w:lang w:val="en-US" w:eastAsia="zh-CN"/>
        </w:rPr>
        <w:t>90</w:t>
      </w:r>
      <w:r>
        <w:rPr>
          <w:rFonts w:hint="eastAsia" w:cs="宋体" w:asciiTheme="minorEastAsia" w:hAnsiTheme="minorEastAsia" w:eastAsiaTheme="minorEastAsia"/>
          <w:color w:val="000000"/>
          <w:sz w:val="24"/>
          <w:szCs w:val="24"/>
        </w:rPr>
        <w:t>日内提供</w:t>
      </w:r>
      <w:r>
        <w:rPr>
          <w:rFonts w:hint="eastAsia" w:cs="宋体" w:asciiTheme="minorEastAsia" w:hAnsiTheme="minorEastAsia" w:eastAsiaTheme="minorEastAsia"/>
          <w:color w:val="000000"/>
          <w:sz w:val="24"/>
          <w:szCs w:val="24"/>
          <w:lang w:val="en-US" w:eastAsia="zh-CN"/>
        </w:rPr>
        <w:t>货物</w:t>
      </w:r>
      <w:r>
        <w:rPr>
          <w:rFonts w:hint="eastAsia" w:cs="宋体" w:asciiTheme="minorEastAsia" w:hAnsiTheme="minorEastAsia" w:eastAsiaTheme="minorEastAsia"/>
          <w:color w:val="000000"/>
          <w:sz w:val="24"/>
          <w:szCs w:val="24"/>
        </w:rPr>
        <w:t>并进行验收。</w:t>
      </w:r>
    </w:p>
    <w:p w14:paraId="5463B9AF">
      <w:pPr>
        <w:numPr>
          <w:numId w:val="0"/>
        </w:numPr>
        <w:spacing w:line="420" w:lineRule="exact"/>
        <w:ind w:leftChars="0"/>
        <w:rPr>
          <w:rFonts w:hint="eastAsia"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2、付款方式：</w:t>
      </w:r>
      <w:r>
        <w:rPr>
          <w:rFonts w:hint="eastAsia" w:cs="宋体" w:asciiTheme="minorEastAsia" w:hAnsiTheme="minorEastAsia" w:eastAsiaTheme="minorEastAsia"/>
          <w:color w:val="000000"/>
          <w:sz w:val="24"/>
          <w:szCs w:val="24"/>
          <w:lang w:val="en-US" w:eastAsia="zh-CN"/>
        </w:rPr>
        <w:t>货物</w:t>
      </w:r>
      <w:r>
        <w:rPr>
          <w:rFonts w:hint="eastAsia" w:cs="宋体" w:asciiTheme="minorEastAsia" w:hAnsiTheme="minorEastAsia" w:eastAsiaTheme="minorEastAsia"/>
          <w:color w:val="000000"/>
          <w:sz w:val="24"/>
          <w:szCs w:val="24"/>
        </w:rPr>
        <w:t>验收合格</w:t>
      </w:r>
      <w:r>
        <w:rPr>
          <w:rFonts w:hint="eastAsia" w:cs="宋体" w:asciiTheme="minorEastAsia" w:hAnsiTheme="minorEastAsia" w:eastAsiaTheme="minorEastAsia"/>
          <w:color w:val="000000"/>
          <w:sz w:val="24"/>
          <w:szCs w:val="24"/>
          <w:lang w:val="en-US" w:eastAsia="zh-CN"/>
        </w:rPr>
        <w:t>并正常运行</w:t>
      </w:r>
      <w:r>
        <w:rPr>
          <w:rFonts w:hint="eastAsia" w:cs="宋体" w:asciiTheme="minorEastAsia" w:hAnsiTheme="minorEastAsia" w:eastAsiaTheme="minorEastAsia"/>
          <w:color w:val="000000"/>
          <w:sz w:val="24"/>
          <w:szCs w:val="24"/>
        </w:rPr>
        <w:t>后，采购人收到中标人提交完备票据凭证资料后30日内支付</w:t>
      </w:r>
      <w:r>
        <w:rPr>
          <w:rFonts w:hint="eastAsia" w:cs="宋体" w:asciiTheme="minorEastAsia" w:hAnsiTheme="minorEastAsia" w:eastAsiaTheme="minorEastAsia"/>
          <w:color w:val="000000"/>
          <w:sz w:val="24"/>
          <w:szCs w:val="24"/>
          <w:lang w:val="en-US" w:eastAsia="zh-CN"/>
        </w:rPr>
        <w:t>9</w:t>
      </w:r>
      <w:r>
        <w:rPr>
          <w:rFonts w:hint="eastAsia" w:cs="宋体" w:asciiTheme="minorEastAsia" w:hAnsiTheme="minorEastAsia" w:eastAsiaTheme="minorEastAsia"/>
          <w:color w:val="000000"/>
          <w:sz w:val="24"/>
          <w:szCs w:val="24"/>
        </w:rPr>
        <w:t>0%</w:t>
      </w:r>
      <w:r>
        <w:rPr>
          <w:rFonts w:hint="eastAsia" w:cs="宋体" w:asciiTheme="minorEastAsia" w:hAnsiTheme="minorEastAsia" w:eastAsiaTheme="minorEastAsia"/>
          <w:color w:val="000000"/>
          <w:sz w:val="24"/>
          <w:szCs w:val="24"/>
          <w:lang w:val="en-US" w:eastAsia="zh-CN"/>
        </w:rPr>
        <w:t>款项，正常运行1年后支付10%尾款</w:t>
      </w:r>
      <w:r>
        <w:rPr>
          <w:rFonts w:hint="eastAsia" w:cs="宋体" w:asciiTheme="minorEastAsia" w:hAnsiTheme="minorEastAsia" w:eastAsiaTheme="minorEastAsia"/>
          <w:color w:val="000000"/>
          <w:sz w:val="24"/>
          <w:szCs w:val="24"/>
        </w:rPr>
        <w:t>。</w:t>
      </w:r>
    </w:p>
    <w:p w14:paraId="51FB9568">
      <w:pPr>
        <w:numPr>
          <w:numId w:val="0"/>
        </w:numPr>
        <w:spacing w:line="420" w:lineRule="exact"/>
        <w:ind w:leftChars="0"/>
        <w:rPr>
          <w:rFonts w:hint="default"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rPr>
        <w:t>3、验收要求：医学装备科和使用科室会同</w:t>
      </w:r>
      <w:r>
        <w:rPr>
          <w:rFonts w:hint="eastAsia" w:cs="宋体" w:asciiTheme="minorEastAsia" w:hAnsiTheme="minorEastAsia" w:eastAsiaTheme="minorEastAsia"/>
          <w:color w:val="000000"/>
          <w:sz w:val="24"/>
          <w:szCs w:val="24"/>
          <w:lang w:val="en-US" w:eastAsia="zh-CN"/>
        </w:rPr>
        <w:t>供应商</w:t>
      </w:r>
      <w:r>
        <w:rPr>
          <w:rFonts w:hint="eastAsia" w:cs="宋体" w:asciiTheme="minorEastAsia" w:hAnsiTheme="minorEastAsia" w:eastAsiaTheme="minorEastAsia"/>
          <w:color w:val="000000"/>
          <w:sz w:val="24"/>
          <w:szCs w:val="24"/>
        </w:rPr>
        <w:t>共同验收。</w:t>
      </w:r>
      <w:r>
        <w:rPr>
          <w:rFonts w:hint="eastAsia" w:cs="宋体" w:asciiTheme="minorEastAsia" w:hAnsiTheme="minorEastAsia" w:eastAsiaTheme="minorEastAsia"/>
          <w:color w:val="000000"/>
          <w:sz w:val="24"/>
          <w:szCs w:val="24"/>
          <w:lang w:val="en-US" w:eastAsia="zh-CN"/>
        </w:rPr>
        <w:t>验收货物：国产产品生产日期为6个月以内的货物，进口产品生产日期为12个月以内的货物。</w:t>
      </w:r>
    </w:p>
    <w:p w14:paraId="3B28B3FF">
      <w:pPr>
        <w:numPr>
          <w:numId w:val="0"/>
        </w:numPr>
        <w:spacing w:line="420" w:lineRule="exact"/>
        <w:ind w:leftChars="0"/>
        <w:rPr>
          <w:rFonts w:hint="eastAsia"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4、售后服务：保修期≥3年。</w:t>
      </w:r>
    </w:p>
    <w:p w14:paraId="1452712B">
      <w:pPr>
        <w:numPr>
          <w:numId w:val="0"/>
        </w:numPr>
        <w:spacing w:line="420" w:lineRule="exact"/>
        <w:ind w:leftChars="0"/>
        <w:rPr>
          <w:rFonts w:hint="eastAsia" w:cs="宋体" w:asciiTheme="minorEastAsia" w:hAnsiTheme="minorEastAsia" w:eastAsiaTheme="minorEastAsia"/>
          <w:color w:val="000000"/>
          <w:sz w:val="24"/>
          <w:szCs w:val="24"/>
          <w:lang w:val="en-US" w:eastAsia="zh-CN"/>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bookmarkStart w:id="79" w:name="_GoBack"/>
      <w:bookmarkEnd w:id="79"/>
    </w:p>
    <w:p w14:paraId="7908AF34">
      <w:pPr>
        <w:pStyle w:val="2"/>
        <w:numPr>
          <w:ilvl w:val="0"/>
          <w:numId w:val="0"/>
        </w:numPr>
        <w:ind w:left="402"/>
      </w:pPr>
      <w:bookmarkStart w:id="9" w:name="_Toc22827"/>
      <w:bookmarkStart w:id="10" w:name="_Toc3094"/>
      <w:bookmarkStart w:id="11" w:name="_Toc16344"/>
      <w:r>
        <w:rPr>
          <w:rFonts w:hint="eastAsia"/>
        </w:rPr>
        <w:t>第五章 响应文件格式</w:t>
      </w:r>
      <w:bookmarkEnd w:id="9"/>
      <w:bookmarkEnd w:id="10"/>
      <w:bookmarkEnd w:id="11"/>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2" w:name="_Toc29819"/>
      <w:bookmarkStart w:id="13" w:name="_Toc5913"/>
      <w:bookmarkStart w:id="14" w:name="_Toc4960"/>
      <w:r>
        <w:rPr>
          <w:rFonts w:hint="eastAsia" w:ascii="仿宋" w:hAnsi="仿宋" w:eastAsia="仿宋" w:cs="仿宋"/>
          <w:sz w:val="28"/>
          <w:szCs w:val="24"/>
        </w:rPr>
        <w:t>（响应文件封面）</w:t>
      </w:r>
      <w:bookmarkEnd w:id="12"/>
      <w:bookmarkEnd w:id="13"/>
      <w:bookmarkEnd w:id="14"/>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5" w:name="_Toc9428"/>
      <w:bookmarkStart w:id="16" w:name="_Toc19851"/>
      <w:bookmarkStart w:id="17" w:name="_Toc30609"/>
      <w:r>
        <w:rPr>
          <w:rFonts w:hint="eastAsia" w:ascii="仿宋" w:hAnsi="仿宋" w:eastAsia="仿宋" w:cs="仿宋"/>
          <w:sz w:val="24"/>
          <w:szCs w:val="24"/>
        </w:rPr>
        <w:t>项目名称：</w:t>
      </w:r>
      <w:bookmarkEnd w:id="15"/>
      <w:bookmarkEnd w:id="16"/>
      <w:bookmarkEnd w:id="17"/>
    </w:p>
    <w:p w14:paraId="1CCE2A68">
      <w:pPr>
        <w:jc w:val="left"/>
        <w:rPr>
          <w:rFonts w:ascii="仿宋" w:hAnsi="仿宋" w:eastAsia="仿宋" w:cs="仿宋"/>
          <w:sz w:val="24"/>
          <w:szCs w:val="24"/>
        </w:rPr>
      </w:pPr>
      <w:bookmarkStart w:id="18" w:name="_Toc32352"/>
      <w:bookmarkStart w:id="19" w:name="_Toc1544"/>
      <w:bookmarkStart w:id="20"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8"/>
      <w:bookmarkEnd w:id="19"/>
      <w:bookmarkEnd w:id="20"/>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1" w:name="_Toc21472"/>
      <w:bookmarkStart w:id="22" w:name="_Toc24097"/>
    </w:p>
    <w:bookmarkEnd w:id="21"/>
    <w:bookmarkEnd w:id="22"/>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3" w:name="_Toc24859"/>
      <w:bookmarkStart w:id="24" w:name="_Toc32749"/>
      <w:bookmarkStart w:id="25" w:name="_Toc1690"/>
      <w:bookmarkStart w:id="26" w:name="_Toc17163"/>
      <w:r>
        <w:rPr>
          <w:rFonts w:hint="eastAsia" w:ascii="仿宋" w:hAnsi="仿宋" w:eastAsia="仿宋" w:cs="仿宋"/>
          <w:sz w:val="28"/>
          <w:szCs w:val="24"/>
        </w:rPr>
        <w:t>供应商名称（公章）：</w:t>
      </w:r>
      <w:bookmarkEnd w:id="23"/>
      <w:bookmarkEnd w:id="24"/>
      <w:bookmarkEnd w:id="25"/>
      <w:bookmarkEnd w:id="26"/>
    </w:p>
    <w:p w14:paraId="51F5712A">
      <w:pPr>
        <w:jc w:val="left"/>
        <w:rPr>
          <w:rFonts w:ascii="仿宋" w:hAnsi="仿宋" w:eastAsia="仿宋" w:cs="仿宋"/>
          <w:sz w:val="28"/>
          <w:szCs w:val="24"/>
        </w:rPr>
      </w:pPr>
      <w:bookmarkStart w:id="27" w:name="_Toc6803"/>
      <w:bookmarkStart w:id="28" w:name="_Toc17905"/>
      <w:bookmarkStart w:id="29" w:name="_Toc3558"/>
      <w:bookmarkStart w:id="30" w:name="_Toc24123"/>
      <w:r>
        <w:rPr>
          <w:rFonts w:hint="eastAsia" w:ascii="仿宋" w:hAnsi="仿宋" w:eastAsia="仿宋" w:cs="仿宋"/>
          <w:sz w:val="28"/>
          <w:szCs w:val="24"/>
        </w:rPr>
        <w:t>法定代表人或授权代理人（签字）：</w:t>
      </w:r>
      <w:bookmarkEnd w:id="27"/>
      <w:bookmarkEnd w:id="28"/>
      <w:bookmarkEnd w:id="29"/>
      <w:bookmarkEnd w:id="30"/>
    </w:p>
    <w:p w14:paraId="212AB205">
      <w:pPr>
        <w:jc w:val="left"/>
        <w:rPr>
          <w:rFonts w:ascii="仿宋" w:hAnsi="仿宋" w:eastAsia="仿宋" w:cs="仿宋"/>
          <w:sz w:val="28"/>
          <w:szCs w:val="24"/>
        </w:rPr>
      </w:pPr>
      <w:bookmarkStart w:id="31" w:name="_Toc27135"/>
      <w:bookmarkStart w:id="32" w:name="_Toc27526"/>
      <w:bookmarkStart w:id="33" w:name="_Toc2989"/>
      <w:bookmarkStart w:id="34" w:name="_Toc5996"/>
      <w:r>
        <w:rPr>
          <w:rFonts w:hint="eastAsia" w:ascii="仿宋" w:hAnsi="仿宋" w:eastAsia="仿宋" w:cs="仿宋"/>
          <w:sz w:val="28"/>
          <w:szCs w:val="24"/>
        </w:rPr>
        <w:t>联系方式（移动电话）：</w:t>
      </w:r>
      <w:bookmarkEnd w:id="31"/>
      <w:bookmarkEnd w:id="32"/>
      <w:bookmarkEnd w:id="33"/>
      <w:bookmarkEnd w:id="34"/>
    </w:p>
    <w:p w14:paraId="1D31DD32">
      <w:pPr>
        <w:jc w:val="left"/>
        <w:rPr>
          <w:rFonts w:ascii="仿宋" w:hAnsi="仿宋" w:eastAsia="仿宋" w:cs="仿宋"/>
          <w:sz w:val="28"/>
          <w:szCs w:val="24"/>
        </w:rPr>
      </w:pPr>
      <w:bookmarkStart w:id="35" w:name="_Toc19987"/>
      <w:bookmarkStart w:id="36" w:name="_Toc2031"/>
      <w:bookmarkStart w:id="37" w:name="_Toc5056"/>
      <w:bookmarkStart w:id="38" w:name="_Toc7233"/>
      <w:r>
        <w:rPr>
          <w:rFonts w:hint="eastAsia" w:ascii="仿宋" w:hAnsi="仿宋" w:eastAsia="仿宋" w:cs="仿宋"/>
          <w:sz w:val="28"/>
          <w:szCs w:val="24"/>
        </w:rPr>
        <w:t>日期：     年    月     日</w:t>
      </w:r>
      <w:bookmarkEnd w:id="35"/>
      <w:bookmarkEnd w:id="36"/>
      <w:bookmarkEnd w:id="37"/>
      <w:bookmarkEnd w:id="38"/>
    </w:p>
    <w:p w14:paraId="3E737F25">
      <w:pPr>
        <w:jc w:val="center"/>
        <w:rPr>
          <w:rFonts w:ascii="仿宋" w:hAnsi="仿宋" w:eastAsia="仿宋" w:cs="仿宋"/>
          <w:sz w:val="32"/>
          <w:szCs w:val="40"/>
        </w:rPr>
      </w:pPr>
      <w:bookmarkStart w:id="39" w:name="_Toc21519"/>
      <w:bookmarkStart w:id="40" w:name="_Toc14829"/>
      <w:bookmarkStart w:id="41" w:name="_Toc16029"/>
      <w:bookmarkStart w:id="42" w:name="_Toc11352"/>
      <w:bookmarkStart w:id="43" w:name="_Toc6482"/>
      <w:bookmarkStart w:id="44" w:name="_Toc3023"/>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9"/>
      <w:bookmarkEnd w:id="40"/>
      <w:bookmarkEnd w:id="41"/>
      <w:bookmarkEnd w:id="42"/>
      <w:bookmarkEnd w:id="43"/>
      <w:bookmarkEnd w:id="44"/>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5" w:name="_Toc22676"/>
      <w:bookmarkStart w:id="46" w:name="_Toc30971"/>
      <w:bookmarkStart w:id="47" w:name="_Toc4305"/>
      <w:bookmarkStart w:id="48" w:name="_Toc17857"/>
      <w:bookmarkStart w:id="49" w:name="_Toc31838"/>
      <w:r>
        <w:rPr>
          <w:rFonts w:hint="eastAsia"/>
        </w:rPr>
        <w:br w:type="page"/>
      </w:r>
    </w:p>
    <w:p w14:paraId="2278E64B">
      <w:pPr>
        <w:pStyle w:val="3"/>
        <w:ind w:left="-1" w:firstLine="0"/>
      </w:pPr>
      <w:r>
        <w:rPr>
          <w:rFonts w:hint="eastAsia"/>
        </w:rPr>
        <w:t>具有独立承担民事责任的能力</w:t>
      </w:r>
      <w:bookmarkEnd w:id="45"/>
      <w:bookmarkEnd w:id="46"/>
      <w:bookmarkEnd w:id="47"/>
      <w:bookmarkEnd w:id="48"/>
      <w:bookmarkEnd w:id="49"/>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50" w:name="_Toc15613"/>
      <w:bookmarkStart w:id="51" w:name="_Toc27186"/>
      <w:bookmarkStart w:id="52"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50"/>
      <w:bookmarkEnd w:id="51"/>
      <w:bookmarkStart w:id="53" w:name="_Toc13904"/>
      <w:bookmarkStart w:id="54" w:name="_Toc25357"/>
      <w:bookmarkStart w:id="55" w:name="_Toc13706"/>
    </w:p>
    <w:p w14:paraId="2490D0F0">
      <w:pPr>
        <w:pStyle w:val="3"/>
        <w:ind w:firstLine="0"/>
      </w:pPr>
      <w:bookmarkStart w:id="56" w:name="_Toc15508"/>
      <w:bookmarkStart w:id="57" w:name="_Toc23146"/>
      <w:r>
        <w:rPr>
          <w:rFonts w:hint="eastAsia"/>
        </w:rPr>
        <w:t>本项目其他资格条件提供的证明材料</w:t>
      </w:r>
      <w:bookmarkEnd w:id="52"/>
      <w:bookmarkEnd w:id="53"/>
      <w:bookmarkEnd w:id="54"/>
      <w:bookmarkEnd w:id="55"/>
      <w:bookmarkEnd w:id="56"/>
      <w:bookmarkEnd w:id="57"/>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8" w:name="_Toc12015"/>
      <w:bookmarkStart w:id="59" w:name="_Toc15526"/>
      <w:bookmarkStart w:id="60" w:name="_Toc20589"/>
      <w:bookmarkStart w:id="61" w:name="_Toc25638"/>
      <w:bookmarkStart w:id="62" w:name="_Toc27661"/>
      <w:bookmarkStart w:id="63" w:name="_Toc11351"/>
      <w:r>
        <w:rPr>
          <w:rStyle w:val="38"/>
          <w:rFonts w:hint="eastAsia"/>
          <w:b/>
        </w:rPr>
        <w:t>法定代表人身份证明书</w:t>
      </w:r>
      <w:bookmarkEnd w:id="58"/>
      <w:bookmarkEnd w:id="59"/>
      <w:bookmarkEnd w:id="60"/>
      <w:bookmarkEnd w:id="61"/>
      <w:bookmarkEnd w:id="62"/>
      <w:bookmarkEnd w:id="63"/>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4" w:name="_Toc26969"/>
      <w:bookmarkStart w:id="65" w:name="_Toc2041"/>
      <w:bookmarkStart w:id="66" w:name="_Toc1074"/>
      <w:bookmarkStart w:id="67" w:name="_Toc12967"/>
      <w:bookmarkStart w:id="68" w:name="_Toc23967"/>
      <w:bookmarkStart w:id="69" w:name="_Toc16435"/>
      <w:r>
        <w:rPr>
          <w:rStyle w:val="38"/>
          <w:rFonts w:hint="eastAsia"/>
          <w:b/>
        </w:rPr>
        <w:t>采购需求偏离表</w:t>
      </w:r>
      <w:bookmarkEnd w:id="64"/>
      <w:bookmarkEnd w:id="65"/>
      <w:bookmarkEnd w:id="66"/>
      <w:bookmarkEnd w:id="67"/>
      <w:bookmarkEnd w:id="68"/>
      <w:bookmarkEnd w:id="69"/>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0" w:name="_Toc24494"/>
      <w:bookmarkStart w:id="71" w:name="_Toc3871"/>
      <w:bookmarkStart w:id="72" w:name="_Toc32605"/>
    </w:p>
    <w:p w14:paraId="1CBA6903">
      <w:pPr>
        <w:pStyle w:val="3"/>
        <w:ind w:firstLine="0"/>
      </w:pPr>
      <w:bookmarkStart w:id="73" w:name="_Toc15065"/>
      <w:r>
        <w:rPr>
          <w:rFonts w:hint="eastAsia"/>
        </w:rPr>
        <w:t>报价单</w:t>
      </w:r>
      <w:bookmarkEnd w:id="73"/>
    </w:p>
    <w:p w14:paraId="61CF892A">
      <w:pPr>
        <w:ind w:firstLine="660"/>
        <w:rPr>
          <w:rFonts w:ascii="仿宋" w:hAnsi="仿宋" w:eastAsia="仿宋" w:cs="仿宋"/>
          <w:sz w:val="24"/>
          <w:szCs w:val="24"/>
          <w:lang w:val="zh-TW" w:eastAsia="zh-TW"/>
        </w:rPr>
      </w:pPr>
      <w:bookmarkStart w:id="74" w:name="_Toc30002"/>
      <w:bookmarkStart w:id="75" w:name="_Toc14685"/>
      <w:bookmarkStart w:id="76"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70"/>
      <w:bookmarkEnd w:id="71"/>
      <w:bookmarkEnd w:id="72"/>
      <w:bookmarkEnd w:id="74"/>
      <w:bookmarkEnd w:id="75"/>
      <w:bookmarkEnd w:id="76"/>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7" w:name="_Toc20691"/>
      <w:bookmarkStart w:id="78" w:name="_Toc5447"/>
      <w:r>
        <w:rPr>
          <w:rFonts w:hint="eastAsia" w:ascii="黑体" w:hAnsi="黑体" w:eastAsia="黑体" w:cs="黑体"/>
          <w:b/>
          <w:sz w:val="36"/>
          <w:szCs w:val="32"/>
        </w:rPr>
        <w:br w:type="page"/>
      </w:r>
      <w:bookmarkEnd w:id="77"/>
      <w:bookmarkEnd w:id="78"/>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B42E3A1-42C0-44F8-90EC-A886F370B6A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F368E32-A9F5-4F1B-8294-1ABE7029FD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7578B19-2C97-4EA7-A6EA-43EC9FB3AABF}"/>
  </w:font>
  <w:font w:name="仿宋">
    <w:panose1 w:val="02010609060101010101"/>
    <w:charset w:val="86"/>
    <w:family w:val="modern"/>
    <w:pitch w:val="default"/>
    <w:sig w:usb0="800002BF" w:usb1="38CF7CFA" w:usb2="00000016" w:usb3="00000000" w:csb0="00040001" w:csb1="00000000"/>
    <w:embedRegular r:id="rId4" w:fontKey="{015106B9-EC79-4707-AFE2-34CC9419B8B7}"/>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F32270E8-E75C-4F74-AA33-265E63DE41C1}"/>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7EFCF91"/>
    <w:multiLevelType w:val="singleLevel"/>
    <w:tmpl w:val="E7EFCF91"/>
    <w:lvl w:ilvl="0" w:tentative="0">
      <w:start w:val="1"/>
      <w:numFmt w:val="decimal"/>
      <w:lvlText w:val="%1."/>
      <w:lvlJc w:val="left"/>
      <w:pPr>
        <w:ind w:left="425" w:hanging="425"/>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009DDAD"/>
    <w:multiLevelType w:val="singleLevel"/>
    <w:tmpl w:val="1009DDAD"/>
    <w:lvl w:ilvl="0" w:tentative="0">
      <w:start w:val="1"/>
      <w:numFmt w:val="decimal"/>
      <w:lvlText w:val="%1."/>
      <w:lvlJc w:val="left"/>
      <w:pPr>
        <w:ind w:left="425" w:hanging="425"/>
      </w:pPr>
      <w:rPr>
        <w:rFonts w:hint="default"/>
      </w:r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8">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9">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10"/>
  </w:num>
  <w:num w:numId="3">
    <w:abstractNumId w:val="16"/>
  </w:num>
  <w:num w:numId="4">
    <w:abstractNumId w:val="19"/>
  </w:num>
  <w:num w:numId="5">
    <w:abstractNumId w:val="13"/>
  </w:num>
  <w:num w:numId="6">
    <w:abstractNumId w:val="18"/>
  </w:num>
  <w:num w:numId="7">
    <w:abstractNumId w:val="15"/>
  </w:num>
  <w:num w:numId="8">
    <w:abstractNumId w:val="9"/>
  </w:num>
  <w:num w:numId="9">
    <w:abstractNumId w:val="17"/>
  </w:num>
  <w:num w:numId="10">
    <w:abstractNumId w:val="1"/>
  </w:num>
  <w:num w:numId="11">
    <w:abstractNumId w:val="5"/>
  </w:num>
  <w:num w:numId="12">
    <w:abstractNumId w:val="0"/>
  </w:num>
  <w:num w:numId="13">
    <w:abstractNumId w:val="2"/>
  </w:num>
  <w:num w:numId="14">
    <w:abstractNumId w:val="8"/>
  </w:num>
  <w:num w:numId="15">
    <w:abstractNumId w:val="3"/>
  </w:num>
  <w:num w:numId="16">
    <w:abstractNumId w:val="6"/>
  </w:num>
  <w:num w:numId="17">
    <w:abstractNumId w:val="11"/>
  </w:num>
  <w:num w:numId="18">
    <w:abstractNumId w:val="7"/>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793DA9"/>
    <w:rsid w:val="01FF1E15"/>
    <w:rsid w:val="037B73C5"/>
    <w:rsid w:val="038E0C11"/>
    <w:rsid w:val="03CA1FAF"/>
    <w:rsid w:val="041D546A"/>
    <w:rsid w:val="0424774D"/>
    <w:rsid w:val="053034D0"/>
    <w:rsid w:val="058C78B0"/>
    <w:rsid w:val="05BE0633"/>
    <w:rsid w:val="05D12E0E"/>
    <w:rsid w:val="05E13064"/>
    <w:rsid w:val="06043A48"/>
    <w:rsid w:val="06DD0510"/>
    <w:rsid w:val="07275343"/>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EA519F2"/>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6F4CFD"/>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6C4F89"/>
    <w:rsid w:val="2BD274F4"/>
    <w:rsid w:val="2C7C33D1"/>
    <w:rsid w:val="2C9A0A9E"/>
    <w:rsid w:val="2CC93AF1"/>
    <w:rsid w:val="2CDF3C0F"/>
    <w:rsid w:val="2CE462F8"/>
    <w:rsid w:val="2DA70D65"/>
    <w:rsid w:val="2E8822E7"/>
    <w:rsid w:val="2F966F61"/>
    <w:rsid w:val="305F1EED"/>
    <w:rsid w:val="30A901D0"/>
    <w:rsid w:val="30BE31DA"/>
    <w:rsid w:val="310A7CBF"/>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54D7D6F"/>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502605B"/>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362AB4"/>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A5433C"/>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82533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116</Words>
  <Characters>129</Characters>
  <Lines>58</Lines>
  <Paragraphs>16</Paragraphs>
  <TotalTime>1</TotalTime>
  <ScaleCrop>false</ScaleCrop>
  <LinksUpToDate>false</LinksUpToDate>
  <CharactersWithSpaces>149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2026-06-09T03:32:00Z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