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54AF0">
      <w:pPr>
        <w:jc w:val="center"/>
        <w:rPr>
          <w:rFonts w:ascii="Times New Roman" w:hAnsi="Times New Roman" w:eastAsia="宋体" w:cs="Times New Roman"/>
          <w:b/>
          <w:sz w:val="84"/>
          <w:szCs w:val="84"/>
        </w:rPr>
      </w:pPr>
      <w:r>
        <w:rPr>
          <w:rFonts w:hint="eastAsia"/>
          <w:b/>
          <w:sz w:val="52"/>
          <w:szCs w:val="52"/>
        </w:rPr>
        <w:t>绵阳市中心医院</w:t>
      </w:r>
    </w:p>
    <w:p w14:paraId="5F5BA90A">
      <w:pPr>
        <w:jc w:val="center"/>
        <w:rPr>
          <w:rFonts w:ascii="宋体" w:hAnsi="宋体"/>
          <w:b/>
          <w:color w:val="000000"/>
          <w:sz w:val="52"/>
          <w:szCs w:val="52"/>
        </w:rPr>
      </w:pPr>
    </w:p>
    <w:p w14:paraId="621BCD38">
      <w:pPr>
        <w:jc w:val="center"/>
        <w:rPr>
          <w:rFonts w:ascii="宋体" w:hAnsi="宋体"/>
          <w:b/>
          <w:color w:val="FF0000"/>
          <w:spacing w:val="-30"/>
          <w:sz w:val="120"/>
          <w:szCs w:val="120"/>
        </w:rPr>
      </w:pPr>
      <w:r>
        <w:rPr>
          <w:rFonts w:hint="eastAsia" w:ascii="宋体" w:hAnsi="宋体"/>
          <w:b/>
          <w:color w:val="FF0000"/>
          <w:spacing w:val="-30"/>
          <w:sz w:val="120"/>
          <w:szCs w:val="120"/>
        </w:rPr>
        <w:t>竞争性磋商文件</w:t>
      </w:r>
    </w:p>
    <w:p w14:paraId="383CDAE2">
      <w:pPr>
        <w:rPr>
          <w:rFonts w:ascii="宋体" w:hAnsi="宋体"/>
          <w:b/>
          <w:color w:val="000000"/>
          <w:sz w:val="72"/>
          <w:szCs w:val="24"/>
        </w:rPr>
      </w:pPr>
    </w:p>
    <w:p w14:paraId="1C0C8FC4">
      <w:pPr>
        <w:rPr>
          <w:rFonts w:ascii="宋体" w:hAnsi="宋体"/>
          <w:b/>
          <w:color w:val="000000"/>
          <w:sz w:val="72"/>
        </w:rPr>
      </w:pPr>
    </w:p>
    <w:p w14:paraId="3C07B5D1">
      <w:pPr>
        <w:ind w:firstLine="720" w:firstLineChars="200"/>
        <w:rPr>
          <w:rFonts w:ascii="宋体" w:hAnsi="宋体"/>
          <w:color w:val="000000"/>
          <w:sz w:val="36"/>
        </w:rPr>
      </w:pPr>
    </w:p>
    <w:p w14:paraId="0AA4AE27">
      <w:pPr>
        <w:ind w:firstLine="720" w:firstLineChars="200"/>
        <w:rPr>
          <w:rFonts w:ascii="宋体" w:hAnsi="宋体"/>
          <w:color w:val="000000"/>
          <w:sz w:val="36"/>
        </w:rPr>
      </w:pPr>
    </w:p>
    <w:p w14:paraId="6C805F41">
      <w:pPr>
        <w:ind w:firstLine="723" w:firstLineChars="200"/>
        <w:rPr>
          <w:rFonts w:hint="eastAsia" w:ascii="宋体" w:hAnsi="宋体"/>
          <w:b/>
          <w:color w:val="000000"/>
          <w:sz w:val="36"/>
        </w:rPr>
      </w:pPr>
      <w:r>
        <w:rPr>
          <w:rFonts w:hint="eastAsia" w:ascii="宋体" w:hAnsi="宋体"/>
          <w:b/>
          <w:color w:val="000000"/>
          <w:sz w:val="36"/>
        </w:rPr>
        <w:t>项目编号：</w:t>
      </w:r>
      <w:r>
        <w:rPr>
          <w:rFonts w:hint="eastAsia" w:ascii="宋体" w:hAnsi="宋体"/>
          <w:color w:val="000000"/>
          <w:sz w:val="36"/>
          <w:szCs w:val="24"/>
        </w:rPr>
        <w:t xml:space="preserve"> </w:t>
      </w:r>
      <w:r>
        <w:rPr>
          <w:rFonts w:hint="eastAsia" w:ascii="宋体" w:hAnsi="宋体"/>
          <w:b/>
          <w:color w:val="000000"/>
          <w:sz w:val="36"/>
        </w:rPr>
        <w:t>MYCH竞磋（202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06</w:t>
      </w:r>
      <w:r>
        <w:rPr>
          <w:rFonts w:hint="eastAsia" w:ascii="宋体" w:hAnsi="宋体"/>
          <w:b/>
          <w:color w:val="000000"/>
          <w:sz w:val="36"/>
        </w:rPr>
        <w:t>号</w:t>
      </w:r>
    </w:p>
    <w:p w14:paraId="2903C7CF">
      <w:pPr>
        <w:pStyle w:val="10"/>
      </w:pPr>
    </w:p>
    <w:p w14:paraId="5BF61F99">
      <w:pPr>
        <w:ind w:left="2525" w:leftChars="342" w:hanging="1807" w:hangingChars="500"/>
        <w:rPr>
          <w:rFonts w:hint="eastAsia" w:ascii="宋体" w:hAnsi="宋体"/>
          <w:b/>
          <w:color w:val="000000"/>
          <w:sz w:val="36"/>
          <w:lang w:val="en-US"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val="en-US" w:eastAsia="zh-CN"/>
        </w:rPr>
        <w:t xml:space="preserve"> </w:t>
      </w:r>
      <w:r>
        <w:rPr>
          <w:rFonts w:hint="eastAsia" w:ascii="宋体" w:hAnsi="宋体"/>
          <w:b/>
          <w:color w:val="000000"/>
          <w:sz w:val="36"/>
        </w:rPr>
        <w:t>第三方实验室检测服务</w:t>
      </w:r>
    </w:p>
    <w:p w14:paraId="5380C3CE">
      <w:pPr>
        <w:ind w:left="2647" w:leftChars="400" w:hanging="1807" w:hangingChars="500"/>
        <w:rPr>
          <w:rFonts w:ascii="宋体" w:hAnsi="宋体"/>
          <w:b/>
          <w:bCs/>
          <w:color w:val="000000"/>
          <w:sz w:val="36"/>
          <w:szCs w:val="36"/>
          <w:u w:val="single"/>
        </w:rPr>
      </w:pPr>
    </w:p>
    <w:bookmarkEnd w:id="0"/>
    <w:p w14:paraId="09DA91F3">
      <w:pPr>
        <w:rPr>
          <w:rFonts w:ascii="宋体" w:hAnsi="宋体"/>
          <w:b/>
          <w:color w:val="000000"/>
          <w:sz w:val="36"/>
        </w:rPr>
      </w:pPr>
    </w:p>
    <w:p w14:paraId="43EBA962">
      <w:pPr>
        <w:jc w:val="both"/>
        <w:rPr>
          <w:rFonts w:ascii="宋体" w:hAnsi="宋体"/>
          <w:b/>
          <w:color w:val="000000"/>
          <w:sz w:val="36"/>
          <w:szCs w:val="36"/>
        </w:rPr>
      </w:pPr>
    </w:p>
    <w:p w14:paraId="74B08291">
      <w:pPr>
        <w:jc w:val="center"/>
        <w:rPr>
          <w:rFonts w:ascii="宋体" w:hAnsi="宋体"/>
          <w:b/>
          <w:color w:val="000000"/>
          <w:sz w:val="36"/>
          <w:szCs w:val="36"/>
        </w:rPr>
      </w:pPr>
    </w:p>
    <w:p w14:paraId="2F62EB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39F55484">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379F1D2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2EE3C5CF">
      <w:pPr>
        <w:pStyle w:val="17"/>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2512255">
      <w:pPr>
        <w:pStyle w:val="17"/>
        <w:tabs>
          <w:tab w:val="left" w:pos="6160"/>
        </w:tabs>
        <w:rPr>
          <w:rFonts w:ascii="仿宋" w:hAnsi="仿宋" w:eastAsia="仿宋" w:cs="仿宋"/>
          <w:sz w:val="28"/>
          <w:szCs w:val="32"/>
        </w:rPr>
      </w:pPr>
      <w:r>
        <w:rPr>
          <w:rFonts w:hint="eastAsia" w:ascii="仿宋" w:hAnsi="仿宋" w:eastAsia="仿宋" w:cs="仿宋"/>
          <w:sz w:val="28"/>
          <w:szCs w:val="32"/>
        </w:rPr>
        <w:tab/>
      </w:r>
    </w:p>
    <w:p w14:paraId="25897D00">
      <w:pPr>
        <w:pStyle w:val="17"/>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磋商邀请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406A51C">
      <w:pPr>
        <w:pStyle w:val="17"/>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739B308">
      <w:pPr>
        <w:pStyle w:val="17"/>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3DA670A">
      <w:pPr>
        <w:pStyle w:val="17"/>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33D8FB8">
      <w:pPr>
        <w:pStyle w:val="17"/>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评分细则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30BBCA6">
      <w:pPr>
        <w:pStyle w:val="17"/>
        <w:tabs>
          <w:tab w:val="right" w:leader="dot" w:pos="8299"/>
        </w:tabs>
        <w:rPr>
          <w:rFonts w:ascii="仿宋" w:hAnsi="仿宋" w:eastAsia="仿宋" w:cs="仿宋"/>
          <w:sz w:val="28"/>
          <w:szCs w:val="28"/>
        </w:rPr>
      </w:pPr>
      <w:r>
        <w:rPr>
          <w:rFonts w:hint="eastAsia" w:ascii="仿宋" w:hAnsi="仿宋" w:eastAsia="仿宋" w:cs="仿宋"/>
          <w:sz w:val="28"/>
          <w:szCs w:val="28"/>
        </w:rPr>
        <w:t>第六章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p>
    <w:p w14:paraId="61662245">
      <w:pPr>
        <w:pStyle w:val="16"/>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14ED68FB">
      <w:pPr>
        <w:pStyle w:val="16"/>
        <w:outlineLvl w:val="0"/>
        <w:rPr>
          <w:rFonts w:hint="eastAsia" w:ascii="仿宋" w:hAnsi="仿宋" w:eastAsia="仿宋" w:cs="仿宋"/>
          <w:kern w:val="2"/>
          <w:sz w:val="22"/>
          <w:szCs w:val="22"/>
          <w:lang w:val="en-US" w:eastAsia="zh-CN" w:bidi="ar-SA"/>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磋商邀请</w:t>
      </w:r>
      <w:bookmarkEnd w:id="2"/>
    </w:p>
    <w:tbl>
      <w:tblPr>
        <w:tblStyle w:val="22"/>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0A5C5B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8A22A38">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序号</w:t>
            </w:r>
          </w:p>
        </w:tc>
        <w:tc>
          <w:tcPr>
            <w:tcW w:w="1733" w:type="dxa"/>
            <w:tcBorders>
              <w:top w:val="single" w:color="auto" w:sz="18" w:space="0"/>
            </w:tcBorders>
            <w:vAlign w:val="center"/>
          </w:tcPr>
          <w:p w14:paraId="42B710C9">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应知事项</w:t>
            </w:r>
          </w:p>
        </w:tc>
        <w:tc>
          <w:tcPr>
            <w:tcW w:w="6674" w:type="dxa"/>
            <w:tcBorders>
              <w:top w:val="single" w:color="auto" w:sz="18" w:space="0"/>
            </w:tcBorders>
            <w:vAlign w:val="center"/>
          </w:tcPr>
          <w:p w14:paraId="7B4BBC22">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说明和要求</w:t>
            </w:r>
          </w:p>
        </w:tc>
      </w:tr>
      <w:tr w14:paraId="010477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A44BB46">
            <w:pPr>
              <w:pStyle w:val="32"/>
              <w:numPr>
                <w:ilvl w:val="0"/>
                <w:numId w:val="4"/>
              </w:numPr>
              <w:tabs>
                <w:tab w:val="left" w:pos="220"/>
                <w:tab w:val="clear" w:pos="0"/>
              </w:tabs>
              <w:adjustRightInd w:val="0"/>
              <w:snapToGrid w:val="0"/>
              <w:jc w:val="both"/>
              <w:rPr>
                <w:rFonts w:hint="eastAsia" w:ascii="仿宋" w:hAnsi="仿宋" w:eastAsia="仿宋" w:cs="仿宋"/>
                <w:kern w:val="2"/>
                <w:sz w:val="22"/>
                <w:szCs w:val="22"/>
                <w:lang w:val="zh-CN" w:eastAsia="zh-CN" w:bidi="ar-SA"/>
              </w:rPr>
            </w:pPr>
          </w:p>
        </w:tc>
        <w:tc>
          <w:tcPr>
            <w:tcW w:w="1733" w:type="dxa"/>
            <w:tcBorders>
              <w:bottom w:val="single" w:color="auto" w:sz="4" w:space="0"/>
            </w:tcBorders>
            <w:vAlign w:val="center"/>
          </w:tcPr>
          <w:p w14:paraId="70A81A08">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采购人</w:t>
            </w:r>
          </w:p>
        </w:tc>
        <w:tc>
          <w:tcPr>
            <w:tcW w:w="6674" w:type="dxa"/>
            <w:tcBorders>
              <w:bottom w:val="single" w:color="auto" w:sz="4" w:space="0"/>
            </w:tcBorders>
            <w:vAlign w:val="center"/>
          </w:tcPr>
          <w:p w14:paraId="3BF6F487">
            <w:pPr>
              <w:spacing w:line="360" w:lineRule="auto"/>
              <w:ind w:left="210" w:leftChars="100" w:firstLine="1980" w:firstLineChars="9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绵阳市中心医院</w:t>
            </w:r>
          </w:p>
        </w:tc>
      </w:tr>
      <w:tr w14:paraId="071FCB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368B85C">
            <w:pPr>
              <w:pStyle w:val="32"/>
              <w:numPr>
                <w:ilvl w:val="0"/>
                <w:numId w:val="4"/>
              </w:numPr>
              <w:tabs>
                <w:tab w:val="left" w:pos="220"/>
                <w:tab w:val="clear" w:pos="0"/>
              </w:tabs>
              <w:adjustRightInd w:val="0"/>
              <w:snapToGrid w:val="0"/>
              <w:jc w:val="both"/>
              <w:rPr>
                <w:rFonts w:hint="eastAsia" w:ascii="仿宋" w:hAnsi="仿宋" w:eastAsia="仿宋" w:cs="仿宋"/>
                <w:kern w:val="2"/>
                <w:sz w:val="22"/>
                <w:szCs w:val="22"/>
                <w:lang w:val="zh-CN" w:eastAsia="zh-CN" w:bidi="ar-SA"/>
              </w:rPr>
            </w:pPr>
          </w:p>
        </w:tc>
        <w:tc>
          <w:tcPr>
            <w:tcW w:w="1733" w:type="dxa"/>
            <w:tcBorders>
              <w:bottom w:val="single" w:color="auto" w:sz="4" w:space="0"/>
            </w:tcBorders>
            <w:vAlign w:val="center"/>
          </w:tcPr>
          <w:p w14:paraId="6D4B43AB">
            <w:pPr>
              <w:spacing w:line="360" w:lineRule="auto"/>
              <w:jc w:val="center"/>
              <w:rPr>
                <w:rFonts w:hint="eastAsia" w:ascii="仿宋" w:hAnsi="仿宋" w:eastAsia="仿宋" w:cs="仿宋"/>
                <w:kern w:val="2"/>
                <w:sz w:val="22"/>
                <w:szCs w:val="22"/>
                <w:lang w:val="zh-CN" w:eastAsia="zh-CN" w:bidi="ar-SA"/>
              </w:rPr>
            </w:pPr>
            <w:r>
              <w:rPr>
                <w:rFonts w:hint="eastAsia" w:ascii="仿宋" w:hAnsi="仿宋" w:eastAsia="仿宋" w:cs="仿宋"/>
                <w:kern w:val="2"/>
                <w:sz w:val="22"/>
                <w:szCs w:val="22"/>
                <w:lang w:val="en-US" w:eastAsia="zh-CN" w:bidi="ar-SA"/>
              </w:rPr>
              <w:t>项目名称</w:t>
            </w:r>
          </w:p>
        </w:tc>
        <w:tc>
          <w:tcPr>
            <w:tcW w:w="6674" w:type="dxa"/>
            <w:tcBorders>
              <w:bottom w:val="single" w:color="auto" w:sz="4" w:space="0"/>
            </w:tcBorders>
            <w:vAlign w:val="center"/>
          </w:tcPr>
          <w:p w14:paraId="1EB134AC">
            <w:pPr>
              <w:spacing w:line="360" w:lineRule="auto"/>
              <w:ind w:firstLine="1980" w:firstLineChars="90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第三方实验室检测服务</w:t>
            </w:r>
          </w:p>
        </w:tc>
      </w:tr>
      <w:tr w14:paraId="1A9F29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0746C71C">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77BE6A3">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0480B9D5">
            <w:pPr>
              <w:ind w:firstLine="1760" w:firstLineChars="800"/>
              <w:rPr>
                <w:rFonts w:hint="default" w:ascii="仿宋" w:hAnsi="仿宋" w:eastAsia="仿宋" w:cs="仿宋"/>
                <w:sz w:val="22"/>
                <w:lang w:val="en-US" w:eastAsia="zh-CN"/>
              </w:rPr>
            </w:pPr>
            <w:r>
              <w:rPr>
                <w:rFonts w:hint="eastAsia" w:ascii="仿宋" w:hAnsi="仿宋" w:eastAsia="仿宋" w:cs="仿宋"/>
                <w:sz w:val="22"/>
              </w:rPr>
              <w:t>MYCH竞磋（202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06</w:t>
            </w:r>
            <w:r>
              <w:rPr>
                <w:rFonts w:hint="eastAsia" w:ascii="仿宋" w:hAnsi="仿宋" w:eastAsia="仿宋" w:cs="仿宋"/>
                <w:sz w:val="22"/>
              </w:rPr>
              <w:t>号</w:t>
            </w:r>
          </w:p>
        </w:tc>
      </w:tr>
      <w:tr w14:paraId="7FD419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22DD974">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8375161">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409BFDB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4A2031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655DEE8">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3FB01D2">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7D4E2472">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单价详见单价明细，总价15.58万元（</w:t>
            </w:r>
            <w:r>
              <w:rPr>
                <w:rFonts w:hint="eastAsia" w:ascii="仿宋" w:hAnsi="仿宋" w:eastAsia="仿宋" w:cs="仿宋"/>
                <w:sz w:val="22"/>
              </w:rPr>
              <w:t>超过最高限价的报价，其响应文件作无效处理）</w:t>
            </w:r>
          </w:p>
        </w:tc>
      </w:tr>
      <w:tr w14:paraId="03F857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21AD4F8">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D208AC2">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62C3A91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05692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38F1894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6" w:hRule="atLeast"/>
        </w:trPr>
        <w:tc>
          <w:tcPr>
            <w:tcW w:w="524" w:type="dxa"/>
            <w:vAlign w:val="center"/>
          </w:tcPr>
          <w:p w14:paraId="13662706">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2D2D82">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19416F0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432F2E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971B4FB">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5A08A2C">
            <w:pPr>
              <w:pStyle w:val="34"/>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70058DA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FE"/>
            </w:r>
            <w:r>
              <w:rPr>
                <w:rFonts w:hint="eastAsia" w:ascii="仿宋" w:hAnsi="仿宋" w:eastAsia="仿宋" w:cs="仿宋"/>
                <w:sz w:val="22"/>
              </w:rPr>
              <w:t xml:space="preserve">接受       </w:t>
            </w:r>
            <w:r>
              <w:rPr>
                <w:rFonts w:hint="eastAsia" w:ascii="仿宋" w:hAnsi="仿宋" w:eastAsia="仿宋" w:cs="仿宋"/>
                <w:sz w:val="22"/>
              </w:rPr>
              <w:sym w:font="Wingdings" w:char="00A8"/>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06271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A07659C">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0CA9B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0812BA0E">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19187C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F0F915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C7A19A">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04A543E">
            <w:pPr>
              <w:pStyle w:val="10"/>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104827CF">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4C17FD71">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23FA6EA">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4C98DB41">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6E667CE">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F6B1650">
            <w:pPr>
              <w:pStyle w:val="10"/>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1C855B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43017CE7">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492053">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2F8EBB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0ACA1833">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4C6D2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49A88332">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55F3152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17B8977">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0C319C32">
            <w:pPr>
              <w:spacing w:line="360" w:lineRule="auto"/>
              <w:ind w:left="210" w:leftChars="1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w:t>
            </w:r>
            <w:r>
              <w:rPr>
                <w:rFonts w:hint="eastAsia" w:ascii="仿宋" w:hAnsi="仿宋" w:eastAsia="仿宋" w:cs="仿宋"/>
                <w:sz w:val="24"/>
                <w:szCs w:val="24"/>
                <w:lang w:val="en-US" w:eastAsia="zh-CN"/>
              </w:rPr>
              <w:t>/</w:t>
            </w:r>
          </w:p>
          <w:p w14:paraId="0B94BB0C">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60983E8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AFAEA8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D3A0BD2">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2156917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（3）除因不可抗力或磋商文件认可的情形以外，成交供应商不与采购人签订合同的;</w:t>
            </w:r>
          </w:p>
          <w:p w14:paraId="14C76CF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15A90AA1">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383C2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24C5DE0A">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22182857">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5B07782">
            <w:pPr>
              <w:pStyle w:val="33"/>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5CCD8C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C96019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19AAFB4">
            <w:pPr>
              <w:pStyle w:val="33"/>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0CDF9B1">
            <w:pPr>
              <w:pStyle w:val="33"/>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25C96550">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4500049F">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2B032082">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F1EC233">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105091EC">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EA0AED7">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32CDF628">
            <w:pPr>
              <w:pStyle w:val="33"/>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8D2F9D1">
            <w:pPr>
              <w:pStyle w:val="33"/>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26A5610B">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64CE8C31">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1F1C9E5E">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244B2AD8">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6A165B82">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159958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52B6C5C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3B1070E">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40F7556B">
            <w:pPr>
              <w:spacing w:line="360" w:lineRule="auto"/>
              <w:ind w:left="210" w:leftChars="100"/>
              <w:rPr>
                <w:rFonts w:ascii="仿宋" w:hAnsi="仿宋" w:eastAsia="仿宋" w:cs="仿宋"/>
                <w:bCs/>
                <w:sz w:val="22"/>
              </w:rPr>
            </w:pPr>
            <w:r>
              <w:rPr>
                <w:rFonts w:hint="eastAsia" w:ascii="仿宋" w:hAnsi="仿宋" w:eastAsia="仿宋" w:cs="仿宋"/>
                <w:bCs/>
                <w:sz w:val="22"/>
              </w:rPr>
              <w:t>综合评分法</w:t>
            </w:r>
          </w:p>
          <w:p w14:paraId="539728E0">
            <w:pPr>
              <w:spacing w:line="360" w:lineRule="auto"/>
              <w:ind w:left="210" w:leftChars="100" w:firstLine="440" w:firstLineChars="200"/>
              <w:rPr>
                <w:rFonts w:ascii="仿宋" w:hAnsi="仿宋" w:eastAsia="仿宋" w:cs="仿宋"/>
                <w:kern w:val="0"/>
                <w:sz w:val="22"/>
                <w:lang w:val="zh-CN"/>
              </w:rPr>
            </w:pPr>
            <w:r>
              <w:rPr>
                <w:rFonts w:hint="eastAsia" w:ascii="仿宋" w:hAnsi="仿宋" w:eastAsia="仿宋" w:cs="仿宋"/>
                <w:bCs/>
                <w:sz w:val="22"/>
              </w:rPr>
              <w:t>通过资格、符合性审查且满足谈判文件全部实质性要求的供应商评审小组按照评审因素进行评分，得分最高的供应商为成交供应商。若得分相同则报价最低的为成交供应商，若报价相同且所有技术、服务及商务要求响应情况均一致则采取随机抽取的方式确定成交供应商。</w:t>
            </w:r>
          </w:p>
        </w:tc>
      </w:tr>
      <w:tr w14:paraId="58EBAB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5EFE8092">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FA324">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磋商文件</w:t>
            </w:r>
          </w:p>
          <w:p w14:paraId="15BA08EA">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256B264A">
            <w:pPr>
              <w:pStyle w:val="33"/>
              <w:spacing w:line="360" w:lineRule="auto"/>
              <w:ind w:left="218" w:leftChars="104"/>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绵阳市中心医院官网采购公告中获取</w:t>
            </w:r>
          </w:p>
        </w:tc>
      </w:tr>
      <w:tr w14:paraId="3D6D27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3282A2BA">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12D730A">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1D644BDA">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091093D6">
            <w:pPr>
              <w:pStyle w:val="34"/>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0726EA3C">
            <w:pPr>
              <w:pStyle w:val="34"/>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w:t>
            </w:r>
          </w:p>
          <w:p w14:paraId="1966CC30">
            <w:pPr>
              <w:pStyle w:val="33"/>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AD643C7">
            <w:pPr>
              <w:pStyle w:val="33"/>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响应文件应在提交响应文件截止时间前送达磋商地点；</w:t>
            </w:r>
          </w:p>
          <w:p w14:paraId="2DAC8343">
            <w:pPr>
              <w:pStyle w:val="33"/>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22"/>
                <w:szCs w:val="22"/>
              </w:rPr>
              <w:t>份</w:t>
            </w:r>
          </w:p>
          <w:p w14:paraId="235739CA">
            <w:pPr>
              <w:pStyle w:val="33"/>
              <w:spacing w:line="360" w:lineRule="auto"/>
              <w:ind w:left="218" w:leftChars="104"/>
              <w:jc w:val="both"/>
              <w:rPr>
                <w:rFonts w:ascii="仿宋" w:hAnsi="仿宋" w:eastAsia="仿宋" w:cs="仿宋"/>
                <w:bCs/>
                <w:kern w:val="2"/>
                <w:sz w:val="20"/>
                <w:szCs w:val="20"/>
              </w:rPr>
            </w:pPr>
            <w:r>
              <w:rPr>
                <w:rFonts w:hint="eastAsia" w:ascii="仿宋" w:hAnsi="仿宋" w:eastAsia="仿宋" w:cs="仿宋"/>
                <w:bCs/>
                <w:kern w:val="2"/>
                <w:sz w:val="20"/>
                <w:szCs w:val="20"/>
              </w:rPr>
              <w:t>注：响应文件应在提交响应文件截止时间前提交；未按方式提交或逾期送达响应文件恕不接收。</w:t>
            </w:r>
          </w:p>
        </w:tc>
      </w:tr>
      <w:tr w14:paraId="2E7259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27B4CB68">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941E393">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25E4AA6F">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4E3686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A9146FA">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BD0DD15">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63C483B">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214A54E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eastAsia="zh-CN"/>
              </w:rPr>
              <w:t>刘</w:t>
            </w:r>
            <w:r>
              <w:rPr>
                <w:rFonts w:hint="eastAsia" w:ascii="仿宋" w:hAnsi="仿宋" w:eastAsia="仿宋" w:cs="仿宋"/>
                <w:sz w:val="22"/>
              </w:rPr>
              <w:t>老师 18081208357</w:t>
            </w:r>
          </w:p>
          <w:p w14:paraId="6351DCE3">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院感科</w:t>
            </w:r>
          </w:p>
          <w:p w14:paraId="42276EBF">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文</w:t>
            </w:r>
            <w:r>
              <w:rPr>
                <w:rFonts w:hint="eastAsia" w:ascii="仿宋" w:hAnsi="仿宋" w:eastAsia="仿宋" w:cs="仿宋"/>
                <w:sz w:val="22"/>
                <w:lang w:eastAsia="zh-CN"/>
              </w:rPr>
              <w:t>老师</w:t>
            </w:r>
            <w:r>
              <w:rPr>
                <w:rFonts w:hint="eastAsia" w:ascii="仿宋" w:hAnsi="仿宋" w:eastAsia="仿宋" w:cs="仿宋"/>
                <w:sz w:val="22"/>
                <w:lang w:val="en-US" w:eastAsia="zh-CN"/>
              </w:rPr>
              <w:t xml:space="preserve"> 15881422027</w:t>
            </w:r>
          </w:p>
          <w:p w14:paraId="1541199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49F1B909">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290FDF5">
            <w:pPr>
              <w:spacing w:line="360" w:lineRule="auto"/>
              <w:ind w:left="210" w:leftChars="100"/>
              <w:rPr>
                <w:rFonts w:ascii="仿宋" w:hAnsi="仿宋" w:eastAsia="仿宋" w:cs="仿宋"/>
                <w:sz w:val="22"/>
              </w:rPr>
            </w:pPr>
          </w:p>
        </w:tc>
      </w:tr>
    </w:tbl>
    <w:p w14:paraId="1D6FB75F">
      <w:pPr>
        <w:pStyle w:val="29"/>
        <w:numPr>
          <w:ilvl w:val="4"/>
          <w:numId w:val="0"/>
        </w:numPr>
        <w:outlineLvl w:val="9"/>
      </w:pPr>
    </w:p>
    <w:p w14:paraId="44A806F1"/>
    <w:p w14:paraId="7218DC45">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22"/>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12CAF8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7019E11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4300332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0C01C3A4">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205B93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2B394E24">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2FBE7F0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79CD6284">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29EADBDA">
            <w:pPr>
              <w:spacing w:line="360" w:lineRule="auto"/>
              <w:ind w:left="210" w:leftChars="100"/>
              <w:rPr>
                <w:rFonts w:ascii="仿宋" w:hAnsi="仿宋" w:eastAsia="仿宋" w:cs="仿宋"/>
                <w:sz w:val="22"/>
              </w:rPr>
            </w:pPr>
            <w:r>
              <w:rPr>
                <w:rFonts w:hint="eastAsia" w:ascii="仿宋" w:hAnsi="仿宋" w:eastAsia="仿宋" w:cs="仿宋"/>
                <w:sz w:val="22"/>
              </w:rPr>
              <w:t>（2）报价应是完成磋商项目全部工作内容的价格体现，是最终用户验收合格后的总价，包含了供应商完成本项目所需的一切费用，即项目包干价。</w:t>
            </w:r>
          </w:p>
          <w:p w14:paraId="1F60788F">
            <w:pPr>
              <w:spacing w:line="360" w:lineRule="auto"/>
              <w:ind w:left="210" w:leftChars="100"/>
              <w:rPr>
                <w:rFonts w:hint="eastAsia" w:ascii="仿宋" w:hAnsi="仿宋" w:eastAsia="仿宋" w:cs="仿宋"/>
                <w:sz w:val="22"/>
                <w:lang w:val="en-US" w:eastAsia="zh-CN"/>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40084F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51E89EFE">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E82E2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5F4EADA1">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5E9455F">
            <w:pPr>
              <w:spacing w:line="360" w:lineRule="auto"/>
              <w:ind w:left="210" w:leftChars="100"/>
              <w:rPr>
                <w:rFonts w:ascii="仿宋" w:hAnsi="仿宋" w:eastAsia="仿宋" w:cs="仿宋"/>
                <w:sz w:val="22"/>
              </w:rPr>
            </w:pPr>
            <w:r>
              <w:rPr>
                <w:rFonts w:hint="eastAsia" w:ascii="仿宋" w:hAnsi="仿宋" w:eastAsia="仿宋" w:cs="仿宋"/>
                <w:sz w:val="22"/>
              </w:rPr>
              <w:t>供应商应仔细阅读本磋商文件，按磋商文件第六章“响应文件格式”进行编制，供应商在编制响应文件时应使用该章所附格式；该章未规定格式的，由供应商根据实际情况自主编制，但不得影响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42C8B06">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425680B">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3655DB8">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A4B5981">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23765EA2">
            <w:pPr>
              <w:spacing w:line="360" w:lineRule="auto"/>
              <w:ind w:left="210" w:leftChars="100"/>
              <w:rPr>
                <w:rFonts w:ascii="仿宋" w:hAnsi="仿宋" w:eastAsia="仿宋" w:cs="仿宋"/>
                <w:sz w:val="22"/>
              </w:rPr>
            </w:pPr>
            <w:r>
              <w:rPr>
                <w:rFonts w:hint="eastAsia" w:ascii="仿宋" w:hAnsi="仿宋" w:eastAsia="仿宋" w:cs="仿宋"/>
                <w:sz w:val="22"/>
              </w:rPr>
              <w:t>响应文件应根据磋商文件的要求签署、盖章；</w:t>
            </w:r>
          </w:p>
        </w:tc>
      </w:tr>
      <w:tr w14:paraId="0B6CF3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CFEBE8">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7534908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47013A6">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评审小组根据磋商文件对供应商的响应文件进行资格审查、符合性审查及其他有效性审查。评审小组将根据实际情况，在评审现场确定变动采购需求中的技术、商务和其他要求的，将与所有供应商进行磋商；</w:t>
            </w:r>
            <w:r>
              <w:rPr>
                <w:rFonts w:ascii="仿宋" w:hAnsi="仿宋" w:eastAsia="仿宋" w:cs="仿宋"/>
                <w:sz w:val="22"/>
              </w:rPr>
              <w:t xml:space="preserve"> </w:t>
            </w:r>
          </w:p>
          <w:p w14:paraId="5E04563F">
            <w:pPr>
              <w:spacing w:line="360" w:lineRule="auto"/>
              <w:ind w:left="210" w:leftChars="100"/>
              <w:rPr>
                <w:rFonts w:ascii="仿宋" w:hAnsi="仿宋" w:eastAsia="仿宋" w:cs="仿宋"/>
                <w:sz w:val="22"/>
              </w:rPr>
            </w:pPr>
            <w:r>
              <w:rPr>
                <w:rFonts w:hint="eastAsia" w:ascii="仿宋" w:hAnsi="仿宋" w:eastAsia="仿宋" w:cs="仿宋"/>
                <w:sz w:val="22"/>
              </w:rPr>
              <w:t>（2）磋商后，进行二轮报价或多轮报价，供应商次轮报价不得高于上轮报价，以供应商的最终报价作为有效报价参与评审；</w:t>
            </w:r>
          </w:p>
          <w:p w14:paraId="02255962">
            <w:pPr>
              <w:spacing w:line="360" w:lineRule="auto"/>
              <w:ind w:left="210" w:leftChars="100"/>
              <w:rPr>
                <w:rFonts w:ascii="仿宋" w:hAnsi="仿宋" w:eastAsia="仿宋" w:cs="仿宋"/>
                <w:sz w:val="22"/>
              </w:rPr>
            </w:pPr>
            <w:r>
              <w:rPr>
                <w:rFonts w:hint="eastAsia" w:ascii="仿宋" w:hAnsi="仿宋" w:eastAsia="仿宋" w:cs="仿宋"/>
                <w:sz w:val="22"/>
              </w:rPr>
              <w:t>（3）磋商当天，供应商应保证磋商文件中所写明的法定代表人或委托代理人的联系方式（手机或邮箱）的畅通，并确保其具备与采购人就本项目进行磋商。</w:t>
            </w:r>
          </w:p>
        </w:tc>
      </w:tr>
      <w:tr w14:paraId="1DC421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52E9BFCC">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59A8F7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37F598D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130C8521">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2D81B2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259268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19FF16B2">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0E4AB806">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34DBA250">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磋商文件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AD4CE7F">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8EF91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2BA75736">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010DE8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5507A534">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70DBEB7F">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磋商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63D1D018">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6CDD8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1AF04B4E">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4BFF321B">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0EBAF95E">
            <w:pPr>
              <w:spacing w:line="360" w:lineRule="auto"/>
              <w:ind w:firstLine="221" w:firstLineChars="100"/>
              <w:rPr>
                <w:rFonts w:hint="eastAsia" w:ascii="Times New Roman" w:hAnsi="Times New Roman" w:eastAsia="仿宋" w:cs="Times New Roman"/>
                <w:kern w:val="0"/>
                <w:sz w:val="22"/>
                <w:lang w:val="en-US" w:eastAsia="zh-CN"/>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r>
              <w:rPr>
                <w:rFonts w:hint="eastAsia" w:ascii="仿宋" w:hAnsi="仿宋" w:eastAsia="仿宋" w:cs="仿宋"/>
                <w:sz w:val="22"/>
                <w:lang w:val="zh-TW" w:eastAsia="zh-CN"/>
              </w:rPr>
              <w:t>。</w:t>
            </w:r>
          </w:p>
        </w:tc>
      </w:tr>
      <w:tr w14:paraId="6169AB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1507D02">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619696C4">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磋商文件澄清、修改</w:t>
            </w:r>
          </w:p>
        </w:tc>
        <w:tc>
          <w:tcPr>
            <w:tcW w:w="6867" w:type="dxa"/>
            <w:vAlign w:val="center"/>
          </w:tcPr>
          <w:p w14:paraId="3DB3B024">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采购人在采购期间发出的一切澄清、修改均为磋商文件的有效组成部分。</w:t>
            </w:r>
          </w:p>
        </w:tc>
      </w:tr>
      <w:tr w14:paraId="53C938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1490C4D1">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0DC264AD">
            <w:pPr>
              <w:pStyle w:val="3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2212B0FA">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C8F9CBE">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6A880101">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52A55AF8">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5BA8F61A">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4535BDE9">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774E57ED">
            <w:pPr>
              <w:pStyle w:val="33"/>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F575F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6B7E8608">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103580E3">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02F9C6CD">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）磋商完成后，采购人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32708E73">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0178840E">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2E940AB">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1EBDDD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81694E6">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774B758E">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449E1244">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磋商</w:t>
            </w:r>
            <w:r>
              <w:rPr>
                <w:rFonts w:hint="eastAsia" w:ascii="Times New Roman" w:hAnsi="Times New Roman" w:eastAsia="仿宋" w:cs="Times New Roman"/>
                <w:sz w:val="22"/>
                <w:szCs w:val="22"/>
                <w:lang w:val="zh-CN"/>
              </w:rPr>
              <w:t>产生的一切费用由供应商自行承担；</w:t>
            </w:r>
          </w:p>
          <w:p w14:paraId="3F1DFD5E">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7B013797">
            <w:pPr>
              <w:pStyle w:val="33"/>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“采购人”系指本次组织磋商的绵阳市中心医院；</w:t>
            </w:r>
          </w:p>
          <w:p w14:paraId="522CE44C">
            <w:pPr>
              <w:pStyle w:val="33"/>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“供应商”“响应供应商”系获取了磋商文件拟参加磋商和向采购人提供货物及相应服务的供应商；</w:t>
            </w:r>
          </w:p>
          <w:p w14:paraId="326A8241">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3742E55">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p>
          <w:p w14:paraId="15141B1C">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本磋商文件最终解释权归采购人所有。</w:t>
            </w:r>
          </w:p>
        </w:tc>
      </w:tr>
    </w:tbl>
    <w:p w14:paraId="5155C618">
      <w:r>
        <w:br w:type="page"/>
      </w:r>
    </w:p>
    <w:p w14:paraId="7D03FA28">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供应商资格审查及符合性审查</w:t>
      </w:r>
      <w:bookmarkEnd w:id="4"/>
      <w:bookmarkEnd w:id="5"/>
      <w:bookmarkEnd w:id="6"/>
    </w:p>
    <w:tbl>
      <w:tblPr>
        <w:tblStyle w:val="2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014C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3CE4EA6">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31F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76BC70E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6933B863">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1F863AF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0E35829">
            <w:pPr>
              <w:widowControl/>
              <w:jc w:val="center"/>
              <w:rPr>
                <w:rFonts w:ascii="仿宋" w:hAnsi="仿宋" w:eastAsia="仿宋" w:cs="仿宋"/>
                <w:b/>
                <w:bCs/>
                <w:sz w:val="22"/>
              </w:rPr>
            </w:pPr>
            <w:r>
              <w:rPr>
                <w:rFonts w:hint="eastAsia" w:ascii="仿宋" w:hAnsi="仿宋" w:eastAsia="仿宋" w:cs="仿宋"/>
                <w:b/>
                <w:bCs/>
                <w:sz w:val="22"/>
              </w:rPr>
              <w:t>结论</w:t>
            </w:r>
          </w:p>
        </w:tc>
      </w:tr>
      <w:tr w14:paraId="65E6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96" w:type="dxa"/>
            <w:vAlign w:val="center"/>
          </w:tcPr>
          <w:p w14:paraId="580287F1">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1787B6F">
            <w:pPr>
              <w:jc w:val="center"/>
              <w:rPr>
                <w:rFonts w:ascii="仿宋" w:hAnsi="仿宋" w:eastAsia="仿宋" w:cs="仿宋"/>
                <w:b/>
                <w:bCs/>
                <w:sz w:val="20"/>
                <w:szCs w:val="20"/>
              </w:rPr>
            </w:pPr>
            <w:r>
              <w:rPr>
                <w:rFonts w:ascii="等线" w:hAnsi="等线" w:eastAsia="仿宋"/>
                <w:b/>
                <w:sz w:val="22"/>
              </w:rPr>
              <w:t>具有独立承担民事责任的能力</w:t>
            </w:r>
          </w:p>
        </w:tc>
        <w:tc>
          <w:tcPr>
            <w:tcW w:w="4398" w:type="dxa"/>
            <w:vAlign w:val="center"/>
          </w:tcPr>
          <w:p w14:paraId="03BD5D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0B4EB77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DFBDC4C">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02C8CE12">
            <w:r>
              <w:rPr>
                <w:rFonts w:hint="eastAsia" w:ascii="仿宋" w:hAnsi="仿宋" w:eastAsia="仿宋" w:cs="仿宋"/>
              </w:rPr>
              <w:t>（4）若为自然人：提供“身份证明材料”</w:t>
            </w:r>
          </w:p>
        </w:tc>
        <w:tc>
          <w:tcPr>
            <w:tcW w:w="902" w:type="dxa"/>
            <w:vAlign w:val="center"/>
          </w:tcPr>
          <w:p w14:paraId="0090079E">
            <w:pPr>
              <w:widowControl/>
              <w:jc w:val="left"/>
              <w:rPr>
                <w:rFonts w:ascii="仿宋" w:hAnsi="仿宋" w:eastAsia="仿宋" w:cs="仿宋"/>
                <w:bCs/>
                <w:kern w:val="0"/>
                <w:sz w:val="22"/>
              </w:rPr>
            </w:pPr>
          </w:p>
        </w:tc>
      </w:tr>
      <w:tr w14:paraId="7610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vAlign w:val="center"/>
          </w:tcPr>
          <w:p w14:paraId="4859528F">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1256F64C">
            <w:pPr>
              <w:jc w:val="center"/>
              <w:rPr>
                <w:rFonts w:ascii="仿宋" w:hAnsi="仿宋" w:eastAsia="仿宋" w:cs="仿宋"/>
                <w:b/>
                <w:bCs/>
                <w:sz w:val="20"/>
                <w:szCs w:val="20"/>
              </w:rPr>
            </w:pPr>
            <w:r>
              <w:rPr>
                <w:rFonts w:ascii="仿宋" w:hAnsi="仿宋" w:eastAsia="仿宋"/>
                <w:b/>
                <w:sz w:val="22"/>
              </w:rPr>
              <w:t>具有健全的财务会计制度</w:t>
            </w:r>
          </w:p>
        </w:tc>
        <w:tc>
          <w:tcPr>
            <w:tcW w:w="4398" w:type="dxa"/>
            <w:vAlign w:val="center"/>
          </w:tcPr>
          <w:p w14:paraId="3D0E380F">
            <w:pPr>
              <w:jc w:val="center"/>
              <w:rPr>
                <w:rFonts w:ascii="仿宋" w:hAnsi="仿宋" w:eastAsia="仿宋" w:cs="仿宋"/>
                <w:sz w:val="22"/>
              </w:rPr>
            </w:pPr>
            <w:r>
              <w:rPr>
                <w:rFonts w:hint="eastAsia" w:ascii="仿宋" w:hAnsi="仿宋" w:eastAsia="仿宋" w:cs="仿宋"/>
                <w:sz w:val="22"/>
              </w:rPr>
              <w:t>统一提供承诺函（格式自拟））</w:t>
            </w:r>
          </w:p>
          <w:p w14:paraId="5C54F4AF">
            <w:pPr>
              <w:rPr>
                <w:rFonts w:ascii="仿宋" w:hAnsi="仿宋" w:eastAsia="仿宋" w:cs="仿宋"/>
                <w:sz w:val="22"/>
              </w:rPr>
            </w:pPr>
          </w:p>
        </w:tc>
        <w:tc>
          <w:tcPr>
            <w:tcW w:w="902" w:type="dxa"/>
            <w:vAlign w:val="center"/>
          </w:tcPr>
          <w:p w14:paraId="641EA536">
            <w:pPr>
              <w:jc w:val="left"/>
              <w:rPr>
                <w:rFonts w:ascii="仿宋" w:hAnsi="仿宋" w:eastAsia="仿宋" w:cs="仿宋"/>
                <w:bCs/>
                <w:kern w:val="0"/>
                <w:sz w:val="22"/>
              </w:rPr>
            </w:pPr>
          </w:p>
        </w:tc>
      </w:tr>
      <w:tr w14:paraId="371E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96" w:type="dxa"/>
            <w:vAlign w:val="center"/>
          </w:tcPr>
          <w:p w14:paraId="215DE642">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63FABBFD">
            <w:pPr>
              <w:spacing w:line="360" w:lineRule="auto"/>
              <w:jc w:val="center"/>
              <w:rPr>
                <w:rFonts w:ascii="仿宋" w:hAnsi="仿宋" w:eastAsia="仿宋" w:cs="仿宋"/>
                <w:b/>
                <w:bCs/>
                <w:sz w:val="20"/>
                <w:szCs w:val="20"/>
              </w:rPr>
            </w:pPr>
            <w:r>
              <w:rPr>
                <w:rFonts w:ascii="仿宋" w:hAnsi="仿宋" w:eastAsia="仿宋"/>
                <w:b/>
                <w:sz w:val="22"/>
              </w:rPr>
              <w:t>具有履行合同所必需的设备和专业技术能力</w:t>
            </w:r>
          </w:p>
        </w:tc>
        <w:tc>
          <w:tcPr>
            <w:tcW w:w="4398" w:type="dxa"/>
            <w:vMerge w:val="restart"/>
            <w:vAlign w:val="center"/>
          </w:tcPr>
          <w:p w14:paraId="10F2DD93">
            <w:pPr>
              <w:jc w:val="center"/>
              <w:rPr>
                <w:rFonts w:ascii="仿宋" w:hAnsi="仿宋" w:eastAsia="仿宋" w:cs="仿宋"/>
                <w:sz w:val="22"/>
              </w:rPr>
            </w:pPr>
            <w:r>
              <w:rPr>
                <w:rFonts w:hint="eastAsia" w:ascii="仿宋" w:hAnsi="仿宋" w:eastAsia="仿宋" w:cs="仿宋"/>
                <w:sz w:val="22"/>
              </w:rPr>
              <w:t>统一提供承诺函</w:t>
            </w:r>
          </w:p>
          <w:p w14:paraId="49FB6AF7">
            <w:pPr>
              <w:jc w:val="center"/>
              <w:rPr>
                <w:rFonts w:hint="default" w:ascii="仿宋" w:hAnsi="仿宋" w:eastAsia="仿宋" w:cs="仿宋"/>
                <w:sz w:val="22"/>
                <w:lang w:val="en-US" w:eastAsia="zh-CN"/>
              </w:rPr>
            </w:pPr>
            <w:r>
              <w:rPr>
                <w:rFonts w:hint="eastAsia" w:ascii="仿宋" w:hAnsi="仿宋" w:eastAsia="仿宋" w:cs="仿宋"/>
                <w:sz w:val="22"/>
              </w:rPr>
              <w:t>(注：格式见第五章承诺函)</w:t>
            </w:r>
          </w:p>
        </w:tc>
        <w:tc>
          <w:tcPr>
            <w:tcW w:w="902" w:type="dxa"/>
            <w:vMerge w:val="restart"/>
            <w:vAlign w:val="center"/>
          </w:tcPr>
          <w:p w14:paraId="4C26F98E">
            <w:pPr>
              <w:jc w:val="left"/>
              <w:rPr>
                <w:rFonts w:ascii="仿宋" w:hAnsi="仿宋" w:eastAsia="仿宋" w:cs="仿宋"/>
                <w:bCs/>
                <w:kern w:val="0"/>
                <w:sz w:val="22"/>
              </w:rPr>
            </w:pPr>
          </w:p>
        </w:tc>
      </w:tr>
      <w:tr w14:paraId="42A8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BDA7093">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5AD2B67">
            <w:pPr>
              <w:spacing w:line="360" w:lineRule="auto"/>
              <w:jc w:val="center"/>
              <w:rPr>
                <w:rFonts w:ascii="仿宋" w:hAnsi="仿宋" w:eastAsia="仿宋" w:cs="仿宋"/>
                <w:b/>
                <w:bCs/>
                <w:sz w:val="20"/>
                <w:szCs w:val="20"/>
              </w:rPr>
            </w:pPr>
            <w:r>
              <w:rPr>
                <w:rFonts w:ascii="仿宋" w:hAnsi="仿宋" w:eastAsia="仿宋"/>
                <w:b/>
                <w:sz w:val="22"/>
              </w:rPr>
              <w:t>有依法缴纳税收和社会保障资金的良好记录</w:t>
            </w:r>
          </w:p>
        </w:tc>
        <w:tc>
          <w:tcPr>
            <w:tcW w:w="4398" w:type="dxa"/>
            <w:vMerge w:val="continue"/>
            <w:vAlign w:val="center"/>
          </w:tcPr>
          <w:p w14:paraId="7E66987F">
            <w:pPr>
              <w:rPr>
                <w:rFonts w:ascii="仿宋" w:hAnsi="仿宋" w:eastAsia="仿宋" w:cs="仿宋"/>
                <w:sz w:val="22"/>
              </w:rPr>
            </w:pPr>
          </w:p>
        </w:tc>
        <w:tc>
          <w:tcPr>
            <w:tcW w:w="902" w:type="dxa"/>
            <w:vMerge w:val="continue"/>
            <w:vAlign w:val="center"/>
          </w:tcPr>
          <w:p w14:paraId="200DD005">
            <w:pPr>
              <w:jc w:val="left"/>
              <w:rPr>
                <w:rFonts w:ascii="仿宋" w:hAnsi="仿宋" w:eastAsia="仿宋" w:cs="仿宋"/>
                <w:bCs/>
                <w:kern w:val="0"/>
                <w:sz w:val="22"/>
              </w:rPr>
            </w:pPr>
          </w:p>
        </w:tc>
      </w:tr>
      <w:tr w14:paraId="7438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9263156">
            <w:pPr>
              <w:jc w:val="center"/>
              <w:rPr>
                <w:rFonts w:hint="eastAsia" w:ascii="仿宋" w:hAnsi="仿宋" w:eastAsia="仿宋" w:cs="仿宋"/>
                <w:sz w:val="22"/>
                <w:lang w:val="en-US" w:eastAsia="zh-CN"/>
              </w:rPr>
            </w:pPr>
            <w:r>
              <w:rPr>
                <w:rFonts w:hint="eastAsia" w:ascii="仿宋" w:hAnsi="仿宋" w:eastAsia="仿宋" w:cs="仿宋"/>
                <w:sz w:val="22"/>
              </w:rPr>
              <w:t>5</w:t>
            </w:r>
          </w:p>
        </w:tc>
        <w:tc>
          <w:tcPr>
            <w:tcW w:w="2524" w:type="dxa"/>
            <w:vAlign w:val="center"/>
          </w:tcPr>
          <w:p w14:paraId="65F0F9EC">
            <w:pPr>
              <w:spacing w:line="360" w:lineRule="auto"/>
              <w:jc w:val="center"/>
              <w:rPr>
                <w:rFonts w:ascii="仿宋" w:hAnsi="仿宋" w:eastAsia="仿宋" w:cs="仿宋"/>
                <w:b/>
                <w:bCs/>
                <w:sz w:val="20"/>
                <w:szCs w:val="20"/>
              </w:rPr>
            </w:pPr>
            <w:r>
              <w:rPr>
                <w:rFonts w:ascii="仿宋" w:hAnsi="仿宋" w:eastAsia="仿宋"/>
                <w:b/>
                <w:sz w:val="22"/>
              </w:rPr>
              <w:t>具有良好的商业信誉</w:t>
            </w:r>
          </w:p>
        </w:tc>
        <w:tc>
          <w:tcPr>
            <w:tcW w:w="4398" w:type="dxa"/>
            <w:vMerge w:val="continue"/>
            <w:vAlign w:val="center"/>
          </w:tcPr>
          <w:p w14:paraId="2C66EFF3">
            <w:pPr>
              <w:rPr>
                <w:rFonts w:ascii="仿宋" w:hAnsi="仿宋" w:eastAsia="仿宋" w:cs="仿宋"/>
                <w:sz w:val="22"/>
              </w:rPr>
            </w:pPr>
          </w:p>
        </w:tc>
        <w:tc>
          <w:tcPr>
            <w:tcW w:w="902" w:type="dxa"/>
            <w:vMerge w:val="continue"/>
            <w:vAlign w:val="center"/>
          </w:tcPr>
          <w:p w14:paraId="293A6E0D">
            <w:pPr>
              <w:jc w:val="left"/>
              <w:rPr>
                <w:rFonts w:ascii="仿宋" w:hAnsi="仿宋" w:eastAsia="仿宋" w:cs="仿宋"/>
                <w:bCs/>
                <w:kern w:val="0"/>
                <w:sz w:val="22"/>
              </w:rPr>
            </w:pPr>
          </w:p>
        </w:tc>
      </w:tr>
      <w:tr w14:paraId="199D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139F198F">
            <w:pPr>
              <w:jc w:val="center"/>
              <w:rPr>
                <w:rFonts w:hint="eastAsia" w:ascii="仿宋" w:hAnsi="仿宋" w:eastAsia="仿宋" w:cs="仿宋"/>
                <w:sz w:val="22"/>
                <w:lang w:val="en-US" w:eastAsia="zh-CN"/>
              </w:rPr>
            </w:pPr>
            <w:r>
              <w:rPr>
                <w:rFonts w:hint="eastAsia" w:ascii="仿宋" w:hAnsi="仿宋" w:eastAsia="仿宋" w:cs="仿宋"/>
                <w:sz w:val="22"/>
              </w:rPr>
              <w:t>6</w:t>
            </w:r>
          </w:p>
        </w:tc>
        <w:tc>
          <w:tcPr>
            <w:tcW w:w="2524" w:type="dxa"/>
            <w:vAlign w:val="center"/>
          </w:tcPr>
          <w:p w14:paraId="473B15EA">
            <w:pPr>
              <w:spacing w:line="360" w:lineRule="auto"/>
              <w:jc w:val="center"/>
              <w:rPr>
                <w:rFonts w:ascii="仿宋" w:hAnsi="仿宋" w:eastAsia="仿宋" w:cs="仿宋"/>
                <w:b/>
                <w:bCs/>
                <w:sz w:val="20"/>
                <w:szCs w:val="20"/>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37EE05CC">
            <w:pPr>
              <w:rPr>
                <w:rFonts w:ascii="仿宋" w:hAnsi="仿宋" w:eastAsia="仿宋" w:cs="仿宋"/>
                <w:sz w:val="22"/>
              </w:rPr>
            </w:pPr>
          </w:p>
        </w:tc>
        <w:tc>
          <w:tcPr>
            <w:tcW w:w="902" w:type="dxa"/>
            <w:vMerge w:val="continue"/>
            <w:vAlign w:val="center"/>
          </w:tcPr>
          <w:p w14:paraId="15E0C2B8">
            <w:pPr>
              <w:jc w:val="left"/>
              <w:rPr>
                <w:rFonts w:ascii="仿宋" w:hAnsi="仿宋" w:eastAsia="仿宋" w:cs="仿宋"/>
                <w:bCs/>
                <w:kern w:val="0"/>
                <w:sz w:val="22"/>
              </w:rPr>
            </w:pPr>
          </w:p>
        </w:tc>
      </w:tr>
      <w:tr w14:paraId="1335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3946E2EA">
            <w:pPr>
              <w:jc w:val="center"/>
              <w:rPr>
                <w:rFonts w:hint="eastAsia" w:ascii="仿宋" w:hAnsi="仿宋" w:eastAsia="仿宋" w:cs="仿宋"/>
                <w:sz w:val="22"/>
                <w:lang w:val="en-US" w:eastAsia="zh-CN"/>
              </w:rPr>
            </w:pPr>
            <w:r>
              <w:rPr>
                <w:rFonts w:hint="eastAsia" w:ascii="仿宋" w:hAnsi="仿宋" w:eastAsia="仿宋" w:cs="仿宋"/>
                <w:sz w:val="22"/>
              </w:rPr>
              <w:t>7</w:t>
            </w:r>
          </w:p>
        </w:tc>
        <w:tc>
          <w:tcPr>
            <w:tcW w:w="2524" w:type="dxa"/>
            <w:vAlign w:val="center"/>
          </w:tcPr>
          <w:p w14:paraId="7C6B5B9D">
            <w:pPr>
              <w:spacing w:line="360" w:lineRule="auto"/>
              <w:jc w:val="center"/>
              <w:rPr>
                <w:rFonts w:ascii="仿宋" w:hAnsi="仿宋" w:eastAsia="仿宋" w:cs="仿宋"/>
                <w:b/>
                <w:bCs/>
                <w:sz w:val="20"/>
                <w:szCs w:val="20"/>
              </w:rPr>
            </w:pPr>
            <w:r>
              <w:rPr>
                <w:rFonts w:ascii="仿宋" w:hAnsi="仿宋" w:eastAsia="仿宋"/>
                <w:b/>
                <w:sz w:val="22"/>
              </w:rPr>
              <w:t>法律、行政法规规定的其他条件</w:t>
            </w:r>
          </w:p>
        </w:tc>
        <w:tc>
          <w:tcPr>
            <w:tcW w:w="4398" w:type="dxa"/>
            <w:vMerge w:val="continue"/>
            <w:vAlign w:val="center"/>
          </w:tcPr>
          <w:p w14:paraId="02D81578">
            <w:pPr>
              <w:rPr>
                <w:rFonts w:ascii="仿宋" w:hAnsi="仿宋" w:eastAsia="仿宋" w:cs="仿宋"/>
                <w:sz w:val="22"/>
              </w:rPr>
            </w:pPr>
          </w:p>
        </w:tc>
        <w:tc>
          <w:tcPr>
            <w:tcW w:w="902" w:type="dxa"/>
            <w:vMerge w:val="continue"/>
            <w:vAlign w:val="center"/>
          </w:tcPr>
          <w:p w14:paraId="475BAD6C">
            <w:pPr>
              <w:jc w:val="left"/>
              <w:rPr>
                <w:rFonts w:ascii="仿宋" w:hAnsi="仿宋" w:eastAsia="仿宋" w:cs="仿宋"/>
                <w:bCs/>
                <w:kern w:val="0"/>
                <w:sz w:val="22"/>
              </w:rPr>
            </w:pPr>
          </w:p>
        </w:tc>
      </w:tr>
      <w:tr w14:paraId="68B2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6" w:type="dxa"/>
            <w:vAlign w:val="center"/>
          </w:tcPr>
          <w:p w14:paraId="517C8948">
            <w:pPr>
              <w:jc w:val="center"/>
              <w:rPr>
                <w:rFonts w:hint="default" w:ascii="仿宋" w:hAnsi="仿宋" w:eastAsia="仿宋" w:cs="仿宋"/>
                <w:sz w:val="22"/>
                <w:lang w:val="en-US" w:eastAsia="zh-CN"/>
              </w:rPr>
            </w:pPr>
            <w:r>
              <w:rPr>
                <w:rFonts w:hint="eastAsia" w:ascii="仿宋" w:hAnsi="仿宋" w:eastAsia="仿宋" w:cs="仿宋"/>
                <w:sz w:val="22"/>
              </w:rPr>
              <w:t>8</w:t>
            </w:r>
          </w:p>
        </w:tc>
        <w:tc>
          <w:tcPr>
            <w:tcW w:w="2524" w:type="dxa"/>
            <w:vAlign w:val="center"/>
          </w:tcPr>
          <w:p w14:paraId="79D624B0">
            <w:pPr>
              <w:jc w:val="center"/>
              <w:rPr>
                <w:rFonts w:hint="eastAsia" w:asciiTheme="minorEastAsia" w:hAnsiTheme="minorEastAsia" w:eastAsiaTheme="minorEastAsia" w:cstheme="minorEastAsia"/>
                <w:b/>
                <w:bCs/>
                <w:color w:val="auto"/>
                <w:sz w:val="21"/>
                <w:szCs w:val="21"/>
                <w:highlight w:val="none"/>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1DCF340D">
            <w:pPr>
              <w:rPr>
                <w:rFonts w:ascii="仿宋" w:hAnsi="仿宋" w:eastAsia="仿宋" w:cs="仿宋"/>
                <w:sz w:val="22"/>
              </w:rPr>
            </w:pPr>
          </w:p>
        </w:tc>
        <w:tc>
          <w:tcPr>
            <w:tcW w:w="902" w:type="dxa"/>
            <w:vMerge w:val="continue"/>
            <w:vAlign w:val="center"/>
          </w:tcPr>
          <w:p w14:paraId="51B846FF">
            <w:pPr>
              <w:jc w:val="left"/>
              <w:rPr>
                <w:rFonts w:ascii="仿宋" w:hAnsi="仿宋" w:eastAsia="仿宋" w:cs="仿宋"/>
                <w:bCs/>
                <w:kern w:val="0"/>
                <w:sz w:val="22"/>
              </w:rPr>
            </w:pPr>
          </w:p>
        </w:tc>
      </w:tr>
      <w:tr w14:paraId="255D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6" w:type="dxa"/>
            <w:vAlign w:val="center"/>
          </w:tcPr>
          <w:p w14:paraId="0109B587">
            <w:pPr>
              <w:jc w:val="center"/>
              <w:rPr>
                <w:rFonts w:hint="default" w:ascii="仿宋" w:hAnsi="仿宋" w:eastAsia="仿宋" w:cs="仿宋"/>
                <w:sz w:val="22"/>
                <w:lang w:val="en-US" w:eastAsia="zh-CN"/>
              </w:rPr>
            </w:pPr>
            <w:r>
              <w:rPr>
                <w:rFonts w:hint="eastAsia" w:ascii="仿宋" w:hAnsi="仿宋" w:eastAsia="仿宋" w:cs="仿宋"/>
                <w:sz w:val="22"/>
              </w:rPr>
              <w:t>9</w:t>
            </w:r>
          </w:p>
        </w:tc>
        <w:tc>
          <w:tcPr>
            <w:tcW w:w="2524" w:type="dxa"/>
            <w:vAlign w:val="center"/>
          </w:tcPr>
          <w:p w14:paraId="33A56255">
            <w:pPr>
              <w:widowControl/>
              <w:rPr>
                <w:rFonts w:hint="eastAsia" w:asciiTheme="minorEastAsia" w:hAnsiTheme="minorEastAsia" w:eastAsiaTheme="minorEastAsia" w:cstheme="minorEastAsia"/>
                <w:b/>
                <w:bCs/>
                <w:color w:val="auto"/>
                <w:sz w:val="21"/>
                <w:szCs w:val="21"/>
                <w:highlight w:val="none"/>
              </w:rPr>
            </w:pPr>
            <w:r>
              <w:rPr>
                <w:rFonts w:hint="eastAsia" w:ascii="仿宋" w:hAnsi="仿宋" w:eastAsia="仿宋" w:cs="仿宋"/>
                <w:b/>
                <w:bCs/>
                <w:sz w:val="30"/>
                <w:szCs w:val="30"/>
              </w:rPr>
              <w:t>其它资格条件：</w:t>
            </w:r>
          </w:p>
        </w:tc>
        <w:tc>
          <w:tcPr>
            <w:tcW w:w="4398" w:type="dxa"/>
            <w:vAlign w:val="center"/>
          </w:tcPr>
          <w:p w14:paraId="461D7CBA">
            <w:pPr>
              <w:rPr>
                <w:rFonts w:ascii="仿宋" w:hAnsi="仿宋" w:eastAsia="仿宋" w:cs="仿宋"/>
                <w:sz w:val="22"/>
              </w:rPr>
            </w:pPr>
          </w:p>
        </w:tc>
        <w:tc>
          <w:tcPr>
            <w:tcW w:w="902" w:type="dxa"/>
            <w:vAlign w:val="center"/>
          </w:tcPr>
          <w:p w14:paraId="01877B43">
            <w:pPr>
              <w:jc w:val="left"/>
              <w:rPr>
                <w:rFonts w:ascii="仿宋" w:hAnsi="仿宋" w:eastAsia="仿宋" w:cs="仿宋"/>
                <w:bCs/>
                <w:kern w:val="0"/>
                <w:sz w:val="22"/>
              </w:rPr>
            </w:pPr>
          </w:p>
        </w:tc>
      </w:tr>
    </w:tbl>
    <w:p w14:paraId="37044E97"/>
    <w:p w14:paraId="7CF749EF">
      <w:pPr>
        <w:pStyle w:val="31"/>
      </w:pPr>
    </w:p>
    <w:p w14:paraId="16E6B0AB">
      <w:pPr>
        <w:pStyle w:val="31"/>
      </w:pPr>
    </w:p>
    <w:tbl>
      <w:tblPr>
        <w:tblStyle w:val="2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752D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A354A9A">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C41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7B1D8D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7BED6F61">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07932F8B">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8F422FD">
            <w:pPr>
              <w:widowControl/>
              <w:jc w:val="center"/>
              <w:rPr>
                <w:rFonts w:ascii="仿宋" w:hAnsi="仿宋" w:eastAsia="仿宋" w:cs="仿宋"/>
                <w:b/>
                <w:bCs/>
                <w:sz w:val="22"/>
              </w:rPr>
            </w:pPr>
            <w:r>
              <w:rPr>
                <w:rFonts w:hint="eastAsia" w:ascii="仿宋" w:hAnsi="仿宋" w:eastAsia="仿宋" w:cs="仿宋"/>
                <w:b/>
                <w:bCs/>
                <w:sz w:val="22"/>
              </w:rPr>
              <w:t>结论</w:t>
            </w:r>
          </w:p>
        </w:tc>
      </w:tr>
      <w:tr w14:paraId="371C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7B4F60C2">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5B8BA011">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D132742">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15D19BD">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4052443">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0A7F3129">
            <w:pPr>
              <w:widowControl/>
              <w:jc w:val="left"/>
              <w:rPr>
                <w:rFonts w:ascii="仿宋" w:hAnsi="仿宋" w:eastAsia="仿宋" w:cs="仿宋"/>
                <w:bCs/>
                <w:kern w:val="0"/>
                <w:sz w:val="22"/>
              </w:rPr>
            </w:pPr>
          </w:p>
        </w:tc>
      </w:tr>
      <w:tr w14:paraId="1D05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3859752">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0DCA8025">
            <w:pPr>
              <w:jc w:val="center"/>
              <w:rPr>
                <w:rFonts w:ascii="等线" w:hAnsi="等线" w:eastAsia="仿宋"/>
                <w:b/>
                <w:sz w:val="22"/>
              </w:rPr>
            </w:pPr>
            <w:r>
              <w:rPr>
                <w:rFonts w:hint="eastAsia" w:ascii="等线" w:hAnsi="等线" w:eastAsia="仿宋"/>
                <w:b/>
                <w:sz w:val="22"/>
              </w:rPr>
              <w:t>磋商文件中实质性要求</w:t>
            </w:r>
          </w:p>
        </w:tc>
        <w:tc>
          <w:tcPr>
            <w:tcW w:w="4867" w:type="dxa"/>
            <w:vAlign w:val="center"/>
          </w:tcPr>
          <w:p w14:paraId="5CD17277">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06B22C42">
            <w:pPr>
              <w:widowControl/>
              <w:jc w:val="left"/>
              <w:rPr>
                <w:rFonts w:ascii="仿宋" w:hAnsi="仿宋" w:eastAsia="仿宋" w:cs="仿宋"/>
                <w:bCs/>
                <w:kern w:val="0"/>
                <w:sz w:val="22"/>
              </w:rPr>
            </w:pPr>
          </w:p>
        </w:tc>
      </w:tr>
      <w:tr w14:paraId="346E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6B9C608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8067AB0">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2C28A4C9">
            <w:pPr>
              <w:rPr>
                <w:rFonts w:ascii="仿宋" w:hAnsi="仿宋" w:eastAsia="仿宋" w:cs="仿宋"/>
                <w:sz w:val="22"/>
              </w:rPr>
            </w:pPr>
            <w:r>
              <w:rPr>
                <w:rFonts w:hint="eastAsia" w:ascii="仿宋" w:hAnsi="仿宋" w:eastAsia="仿宋" w:cs="仿宋"/>
                <w:sz w:val="22"/>
              </w:rPr>
              <w:t>符合磋商文件编制的实质性要求；</w:t>
            </w:r>
          </w:p>
          <w:p w14:paraId="5B8B453A">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4A58CE2">
            <w:pPr>
              <w:widowControl/>
              <w:jc w:val="left"/>
              <w:rPr>
                <w:rFonts w:ascii="仿宋" w:hAnsi="仿宋" w:eastAsia="仿宋" w:cs="仿宋"/>
                <w:bCs/>
                <w:kern w:val="0"/>
                <w:sz w:val="22"/>
              </w:rPr>
            </w:pPr>
          </w:p>
        </w:tc>
      </w:tr>
      <w:tr w14:paraId="73C1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21F922A4">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5200536A">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19AF3CF">
            <w:pPr>
              <w:rPr>
                <w:rFonts w:ascii="仿宋" w:hAnsi="仿宋" w:eastAsia="仿宋" w:cs="仿宋"/>
                <w:sz w:val="22"/>
              </w:rPr>
            </w:pPr>
            <w:r>
              <w:rPr>
                <w:rFonts w:hint="eastAsia" w:ascii="仿宋" w:hAnsi="仿宋" w:eastAsia="仿宋" w:cs="仿宋"/>
                <w:sz w:val="22"/>
              </w:rPr>
              <w:t>符合磋商文件要求;</w:t>
            </w:r>
          </w:p>
          <w:p w14:paraId="5A72833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ACD1309">
            <w:pPr>
              <w:widowControl/>
              <w:jc w:val="left"/>
              <w:rPr>
                <w:rFonts w:ascii="仿宋" w:hAnsi="仿宋" w:eastAsia="仿宋" w:cs="仿宋"/>
                <w:bCs/>
                <w:kern w:val="0"/>
                <w:sz w:val="22"/>
              </w:rPr>
            </w:pPr>
          </w:p>
        </w:tc>
      </w:tr>
      <w:tr w14:paraId="297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B83EF7C">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0460135B">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17F4D74E">
            <w:pPr>
              <w:rPr>
                <w:rFonts w:ascii="仿宋" w:hAnsi="仿宋" w:eastAsia="仿宋" w:cs="仿宋"/>
                <w:sz w:val="22"/>
              </w:rPr>
            </w:pPr>
            <w:r>
              <w:rPr>
                <w:rFonts w:hint="eastAsia" w:ascii="仿宋" w:hAnsi="仿宋" w:eastAsia="仿宋" w:cs="仿宋"/>
                <w:sz w:val="22"/>
              </w:rPr>
              <w:t>符合磋商文件报价要求;</w:t>
            </w:r>
          </w:p>
          <w:p w14:paraId="38F989F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5A6CC920">
            <w:pPr>
              <w:widowControl/>
              <w:jc w:val="left"/>
              <w:rPr>
                <w:rFonts w:ascii="仿宋" w:hAnsi="仿宋" w:eastAsia="仿宋" w:cs="仿宋"/>
                <w:bCs/>
                <w:kern w:val="0"/>
                <w:sz w:val="22"/>
              </w:rPr>
            </w:pPr>
          </w:p>
        </w:tc>
      </w:tr>
      <w:tr w14:paraId="713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82248C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E7A2AC">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2F1B8AE8">
            <w:pPr>
              <w:rPr>
                <w:rFonts w:ascii="仿宋" w:hAnsi="仿宋" w:eastAsia="仿宋" w:cs="仿宋"/>
                <w:sz w:val="22"/>
              </w:rPr>
            </w:pPr>
          </w:p>
        </w:tc>
        <w:tc>
          <w:tcPr>
            <w:tcW w:w="902" w:type="dxa"/>
            <w:vAlign w:val="center"/>
          </w:tcPr>
          <w:p w14:paraId="5C465661">
            <w:pPr>
              <w:widowControl/>
              <w:jc w:val="left"/>
              <w:rPr>
                <w:rFonts w:ascii="仿宋" w:hAnsi="仿宋" w:eastAsia="仿宋" w:cs="仿宋"/>
                <w:bCs/>
                <w:kern w:val="0"/>
                <w:sz w:val="22"/>
              </w:rPr>
            </w:pPr>
          </w:p>
        </w:tc>
      </w:tr>
    </w:tbl>
    <w:p w14:paraId="27B6B9A7">
      <w:r>
        <w:br w:type="page"/>
      </w:r>
    </w:p>
    <w:p w14:paraId="50988C31">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2840B1D4">
      <w:pPr>
        <w:rPr>
          <w:rFonts w:ascii="仿宋" w:hAnsi="仿宋" w:eastAsia="仿宋" w:cs="仿宋"/>
          <w:b/>
          <w:bCs/>
          <w:sz w:val="24"/>
          <w:szCs w:val="24"/>
        </w:rPr>
      </w:pPr>
    </w:p>
    <w:p w14:paraId="45CDED8F">
      <w:pPr>
        <w:keepNext w:val="0"/>
        <w:keepLines w:val="0"/>
        <w:pageBreakBefore w:val="0"/>
        <w:widowControl w:val="0"/>
        <w:numPr>
          <w:ilvl w:val="0"/>
          <w:numId w:val="18"/>
        </w:numPr>
        <w:kinsoku/>
        <w:wordWrap/>
        <w:overflowPunct/>
        <w:topLinePunct w:val="0"/>
        <w:autoSpaceDE/>
        <w:autoSpaceDN/>
        <w:bidi w:val="0"/>
        <w:adjustRightInd/>
        <w:snapToGrid/>
        <w:ind w:left="0" w:leftChars="0" w:firstLine="420" w:firstLineChars="0"/>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BE061F1">
      <w:pPr>
        <w:ind w:firstLine="630" w:firstLineChars="300"/>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根据医院工作需要，</w:t>
      </w:r>
      <w:r>
        <w:rPr>
          <w:rFonts w:hint="eastAsia" w:cstheme="minorBidi"/>
          <w:b w:val="0"/>
          <w:color w:val="auto"/>
          <w:kern w:val="2"/>
          <w:sz w:val="21"/>
          <w:szCs w:val="22"/>
          <w:lang w:val="en-US" w:eastAsia="zh-CN" w:bidi="ar-SA"/>
        </w:rPr>
        <w:t>需采购</w:t>
      </w:r>
      <w:r>
        <w:rPr>
          <w:rFonts w:hint="eastAsia" w:asciiTheme="minorHAnsi" w:hAnsiTheme="minorHAnsi" w:eastAsiaTheme="minorEastAsia" w:cstheme="minorBidi"/>
          <w:b w:val="0"/>
          <w:color w:val="auto"/>
          <w:kern w:val="2"/>
          <w:sz w:val="21"/>
          <w:szCs w:val="22"/>
          <w:lang w:val="en-US" w:eastAsia="zh-CN" w:bidi="ar-SA"/>
        </w:rPr>
        <w:t>第三方实验室检测服务</w:t>
      </w:r>
      <w:r>
        <w:rPr>
          <w:rFonts w:hint="eastAsia" w:cstheme="minorBidi"/>
          <w:b w:val="0"/>
          <w:color w:val="auto"/>
          <w:kern w:val="2"/>
          <w:sz w:val="21"/>
          <w:szCs w:val="22"/>
          <w:lang w:val="en-US" w:eastAsia="zh-CN" w:bidi="ar-SA"/>
        </w:rPr>
        <w:t>，</w:t>
      </w:r>
      <w:r>
        <w:rPr>
          <w:rFonts w:hint="eastAsia" w:asciiTheme="minorHAnsi" w:hAnsiTheme="minorHAnsi" w:eastAsiaTheme="minorEastAsia" w:cstheme="minorBidi"/>
          <w:b w:val="0"/>
          <w:color w:val="auto"/>
          <w:kern w:val="2"/>
          <w:sz w:val="21"/>
          <w:szCs w:val="22"/>
          <w:lang w:val="en-US" w:eastAsia="zh-CN" w:bidi="ar-SA"/>
        </w:rPr>
        <w:t>项目包括：洁净区域、水平层流洁净台、生物安全柜、废气</w:t>
      </w:r>
      <w:r>
        <w:rPr>
          <w:rFonts w:hint="eastAsia" w:cstheme="minorBidi"/>
          <w:b w:val="0"/>
          <w:color w:val="auto"/>
          <w:kern w:val="2"/>
          <w:sz w:val="21"/>
          <w:szCs w:val="22"/>
          <w:lang w:val="en-US" w:eastAsia="zh-CN" w:bidi="ar-SA"/>
        </w:rPr>
        <w:t>，服务期三年</w:t>
      </w:r>
      <w:r>
        <w:rPr>
          <w:rFonts w:hint="eastAsia" w:asciiTheme="minorHAnsi" w:hAnsiTheme="minorHAnsi" w:eastAsiaTheme="minorEastAsia" w:cstheme="minorBidi"/>
          <w:b w:val="0"/>
          <w:color w:val="auto"/>
          <w:kern w:val="2"/>
          <w:sz w:val="21"/>
          <w:szCs w:val="22"/>
          <w:lang w:val="en-US" w:eastAsia="zh-CN" w:bidi="ar-SA"/>
        </w:rPr>
        <w:t>。</w:t>
      </w:r>
    </w:p>
    <w:p w14:paraId="63204727">
      <w:pPr>
        <w:ind w:firstLine="630" w:firstLineChars="300"/>
        <w:rPr>
          <w:rFonts w:hint="eastAsia" w:asciiTheme="minorHAnsi" w:hAnsiTheme="minorHAnsi" w:eastAsiaTheme="minorEastAsia" w:cstheme="minorBidi"/>
          <w:b w:val="0"/>
          <w:color w:val="auto"/>
          <w:kern w:val="2"/>
          <w:sz w:val="21"/>
          <w:szCs w:val="22"/>
          <w:lang w:val="en-US" w:eastAsia="zh-CN" w:bidi="ar-SA"/>
        </w:rPr>
      </w:pPr>
    </w:p>
    <w:p w14:paraId="466634CA">
      <w:pPr>
        <w:keepNext w:val="0"/>
        <w:keepLines w:val="0"/>
        <w:pageBreakBefore w:val="0"/>
        <w:widowControl w:val="0"/>
        <w:numPr>
          <w:ilvl w:val="0"/>
          <w:numId w:val="18"/>
        </w:numPr>
        <w:kinsoku/>
        <w:wordWrap/>
        <w:overflowPunct/>
        <w:topLinePunct w:val="0"/>
        <w:autoSpaceDE/>
        <w:autoSpaceDN/>
        <w:bidi w:val="0"/>
        <w:adjustRightInd/>
        <w:snapToGrid/>
        <w:ind w:left="0" w:leftChars="0" w:firstLine="420" w:firstLineChars="0"/>
        <w:textAlignment w:val="auto"/>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服务要求</w:t>
      </w:r>
    </w:p>
    <w:tbl>
      <w:tblPr>
        <w:tblStyle w:val="22"/>
        <w:tblW w:w="10278" w:type="dxa"/>
        <w:tblInd w:w="0" w:type="dxa"/>
        <w:tblLayout w:type="autofit"/>
        <w:tblCellMar>
          <w:top w:w="0" w:type="dxa"/>
          <w:left w:w="108" w:type="dxa"/>
          <w:bottom w:w="0" w:type="dxa"/>
          <w:right w:w="108" w:type="dxa"/>
        </w:tblCellMar>
      </w:tblPr>
      <w:tblGrid>
        <w:gridCol w:w="3932"/>
        <w:gridCol w:w="2353"/>
        <w:gridCol w:w="1762"/>
        <w:gridCol w:w="2231"/>
      </w:tblGrid>
      <w:tr w14:paraId="31254EE7">
        <w:tblPrEx>
          <w:tblCellMar>
            <w:top w:w="0" w:type="dxa"/>
            <w:left w:w="108" w:type="dxa"/>
            <w:bottom w:w="0" w:type="dxa"/>
            <w:right w:w="108" w:type="dxa"/>
          </w:tblCellMar>
        </w:tblPrEx>
        <w:trPr>
          <w:trHeight w:val="573" w:hRule="atLeast"/>
        </w:trPr>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73456F59">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检测具体项目</w:t>
            </w:r>
          </w:p>
        </w:tc>
        <w:tc>
          <w:tcPr>
            <w:tcW w:w="2353" w:type="dxa"/>
            <w:tcBorders>
              <w:top w:val="single" w:color="auto" w:sz="4" w:space="0"/>
              <w:left w:val="nil"/>
              <w:bottom w:val="single" w:color="auto" w:sz="4" w:space="0"/>
              <w:right w:val="single" w:color="auto" w:sz="4" w:space="0"/>
            </w:tcBorders>
            <w:shd w:val="clear" w:color="auto" w:fill="auto"/>
            <w:vAlign w:val="center"/>
          </w:tcPr>
          <w:p w14:paraId="49CDA663">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检测次数</w:t>
            </w:r>
          </w:p>
        </w:tc>
        <w:tc>
          <w:tcPr>
            <w:tcW w:w="3993" w:type="dxa"/>
            <w:gridSpan w:val="2"/>
            <w:tcBorders>
              <w:top w:val="single" w:color="auto" w:sz="4" w:space="0"/>
              <w:left w:val="nil"/>
              <w:bottom w:val="single" w:color="auto" w:sz="4" w:space="0"/>
              <w:right w:val="single" w:color="auto" w:sz="4" w:space="0"/>
            </w:tcBorders>
            <w:shd w:val="clear" w:color="auto" w:fill="auto"/>
            <w:vAlign w:val="center"/>
          </w:tcPr>
          <w:p w14:paraId="717503F2">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单价（元/次）</w:t>
            </w:r>
          </w:p>
        </w:tc>
      </w:tr>
      <w:tr w14:paraId="1BAF91D0">
        <w:tblPrEx>
          <w:tblCellMar>
            <w:top w:w="0" w:type="dxa"/>
            <w:left w:w="108" w:type="dxa"/>
            <w:bottom w:w="0" w:type="dxa"/>
            <w:right w:w="108" w:type="dxa"/>
          </w:tblCellMar>
        </w:tblPrEx>
        <w:trPr>
          <w:trHeight w:val="558" w:hRule="atLeast"/>
        </w:trPr>
        <w:tc>
          <w:tcPr>
            <w:tcW w:w="3932" w:type="dxa"/>
            <w:vMerge w:val="restart"/>
            <w:tcBorders>
              <w:top w:val="nil"/>
              <w:left w:val="single" w:color="auto" w:sz="4" w:space="0"/>
              <w:bottom w:val="single" w:color="auto" w:sz="4" w:space="0"/>
              <w:right w:val="single" w:color="auto" w:sz="4" w:space="0"/>
            </w:tcBorders>
            <w:shd w:val="clear" w:color="auto" w:fill="auto"/>
            <w:vAlign w:val="center"/>
          </w:tcPr>
          <w:p w14:paraId="0ED63145">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1.</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温度                  </w:t>
            </w:r>
          </w:p>
          <w:p w14:paraId="5602EA22">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2.</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湿度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3.</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压差(静压差)          </w:t>
            </w:r>
          </w:p>
          <w:p w14:paraId="67613BDF">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4.</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噪声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5.</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新风量                </w:t>
            </w:r>
          </w:p>
          <w:p w14:paraId="2277DBEE">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6.</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换气次数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7.</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最低照度              </w:t>
            </w:r>
          </w:p>
          <w:p w14:paraId="17A0353F">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8.</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洁净度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9.</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风速                  </w:t>
            </w:r>
          </w:p>
          <w:p w14:paraId="7F50D4A6">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10.</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细菌总数</w:t>
            </w:r>
          </w:p>
        </w:tc>
        <w:tc>
          <w:tcPr>
            <w:tcW w:w="2353" w:type="dxa"/>
            <w:tcBorders>
              <w:top w:val="nil"/>
              <w:left w:val="nil"/>
              <w:bottom w:val="single" w:color="auto" w:sz="4" w:space="0"/>
              <w:right w:val="single" w:color="auto" w:sz="4" w:space="0"/>
            </w:tcBorders>
            <w:shd w:val="clear" w:color="auto" w:fill="auto"/>
            <w:vAlign w:val="center"/>
          </w:tcPr>
          <w:p w14:paraId="5AFAD140">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10次</w:t>
            </w:r>
          </w:p>
        </w:tc>
        <w:tc>
          <w:tcPr>
            <w:tcW w:w="1762" w:type="dxa"/>
            <w:tcBorders>
              <w:top w:val="nil"/>
              <w:left w:val="nil"/>
              <w:bottom w:val="single" w:color="auto" w:sz="4" w:space="0"/>
              <w:right w:val="single" w:color="auto" w:sz="4" w:space="0"/>
            </w:tcBorders>
            <w:shd w:val="clear" w:color="auto" w:fill="auto"/>
            <w:vAlign w:val="center"/>
          </w:tcPr>
          <w:p w14:paraId="633A6248">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洁净百级</w:t>
            </w:r>
          </w:p>
        </w:tc>
        <w:tc>
          <w:tcPr>
            <w:tcW w:w="2231" w:type="dxa"/>
            <w:tcBorders>
              <w:top w:val="nil"/>
              <w:left w:val="nil"/>
              <w:bottom w:val="single" w:color="auto" w:sz="4" w:space="0"/>
              <w:right w:val="single" w:color="auto" w:sz="4" w:space="0"/>
            </w:tcBorders>
            <w:shd w:val="clear" w:color="auto" w:fill="auto"/>
            <w:vAlign w:val="center"/>
          </w:tcPr>
          <w:p w14:paraId="51D962C9">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700</w:t>
            </w:r>
          </w:p>
        </w:tc>
      </w:tr>
      <w:tr w14:paraId="26B0D1FD">
        <w:tblPrEx>
          <w:tblCellMar>
            <w:top w:w="0" w:type="dxa"/>
            <w:left w:w="108" w:type="dxa"/>
            <w:bottom w:w="0" w:type="dxa"/>
            <w:right w:w="108" w:type="dxa"/>
          </w:tblCellMar>
        </w:tblPrEx>
        <w:trPr>
          <w:trHeight w:val="315" w:hRule="atLeast"/>
        </w:trPr>
        <w:tc>
          <w:tcPr>
            <w:tcW w:w="3932" w:type="dxa"/>
            <w:vMerge w:val="continue"/>
            <w:tcBorders>
              <w:top w:val="nil"/>
              <w:left w:val="single" w:color="auto" w:sz="4" w:space="0"/>
              <w:bottom w:val="single" w:color="auto" w:sz="4" w:space="0"/>
              <w:right w:val="single" w:color="auto" w:sz="4" w:space="0"/>
            </w:tcBorders>
            <w:vAlign w:val="center"/>
          </w:tcPr>
          <w:p w14:paraId="39799568">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2353" w:type="dxa"/>
            <w:tcBorders>
              <w:top w:val="nil"/>
              <w:left w:val="nil"/>
              <w:bottom w:val="single" w:color="auto" w:sz="4" w:space="0"/>
              <w:right w:val="single" w:color="auto" w:sz="4" w:space="0"/>
            </w:tcBorders>
            <w:shd w:val="clear" w:color="auto" w:fill="auto"/>
            <w:vAlign w:val="center"/>
          </w:tcPr>
          <w:p w14:paraId="08657D25">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100次</w:t>
            </w:r>
          </w:p>
        </w:tc>
        <w:tc>
          <w:tcPr>
            <w:tcW w:w="1762" w:type="dxa"/>
            <w:tcBorders>
              <w:top w:val="nil"/>
              <w:left w:val="nil"/>
              <w:bottom w:val="single" w:color="auto" w:sz="4" w:space="0"/>
              <w:right w:val="single" w:color="auto" w:sz="4" w:space="0"/>
            </w:tcBorders>
            <w:shd w:val="clear" w:color="auto" w:fill="auto"/>
            <w:vAlign w:val="center"/>
          </w:tcPr>
          <w:p w14:paraId="387E970F">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洁净万级</w:t>
            </w:r>
          </w:p>
        </w:tc>
        <w:tc>
          <w:tcPr>
            <w:tcW w:w="2231" w:type="dxa"/>
            <w:tcBorders>
              <w:top w:val="nil"/>
              <w:left w:val="nil"/>
              <w:bottom w:val="single" w:color="auto" w:sz="4" w:space="0"/>
              <w:right w:val="single" w:color="auto" w:sz="4" w:space="0"/>
            </w:tcBorders>
            <w:shd w:val="clear" w:color="auto" w:fill="auto"/>
            <w:vAlign w:val="center"/>
          </w:tcPr>
          <w:p w14:paraId="6B75F124">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700</w:t>
            </w:r>
          </w:p>
        </w:tc>
      </w:tr>
      <w:tr w14:paraId="31DE7CFC">
        <w:tblPrEx>
          <w:tblCellMar>
            <w:top w:w="0" w:type="dxa"/>
            <w:left w:w="108" w:type="dxa"/>
            <w:bottom w:w="0" w:type="dxa"/>
            <w:right w:w="108" w:type="dxa"/>
          </w:tblCellMar>
        </w:tblPrEx>
        <w:trPr>
          <w:trHeight w:val="2186" w:hRule="atLeast"/>
        </w:trPr>
        <w:tc>
          <w:tcPr>
            <w:tcW w:w="3932" w:type="dxa"/>
            <w:vMerge w:val="continue"/>
            <w:tcBorders>
              <w:top w:val="nil"/>
              <w:left w:val="single" w:color="auto" w:sz="4" w:space="0"/>
              <w:bottom w:val="single" w:color="auto" w:sz="4" w:space="0"/>
              <w:right w:val="single" w:color="auto" w:sz="4" w:space="0"/>
            </w:tcBorders>
            <w:vAlign w:val="center"/>
          </w:tcPr>
          <w:p w14:paraId="68749D91">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2353" w:type="dxa"/>
            <w:tcBorders>
              <w:top w:val="nil"/>
              <w:left w:val="nil"/>
              <w:bottom w:val="single" w:color="auto" w:sz="4" w:space="0"/>
              <w:right w:val="single" w:color="auto" w:sz="4" w:space="0"/>
            </w:tcBorders>
            <w:shd w:val="clear" w:color="auto" w:fill="auto"/>
            <w:vAlign w:val="center"/>
          </w:tcPr>
          <w:p w14:paraId="5CCDA887">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30次</w:t>
            </w:r>
          </w:p>
        </w:tc>
        <w:tc>
          <w:tcPr>
            <w:tcW w:w="1762" w:type="dxa"/>
            <w:tcBorders>
              <w:top w:val="nil"/>
              <w:left w:val="nil"/>
              <w:bottom w:val="single" w:color="auto" w:sz="4" w:space="0"/>
              <w:right w:val="single" w:color="auto" w:sz="4" w:space="0"/>
            </w:tcBorders>
            <w:shd w:val="clear" w:color="auto" w:fill="auto"/>
            <w:vAlign w:val="center"/>
          </w:tcPr>
          <w:p w14:paraId="58C72F9D">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洁净十万级</w:t>
            </w:r>
          </w:p>
        </w:tc>
        <w:tc>
          <w:tcPr>
            <w:tcW w:w="2231" w:type="dxa"/>
            <w:tcBorders>
              <w:top w:val="nil"/>
              <w:left w:val="nil"/>
              <w:bottom w:val="single" w:color="auto" w:sz="4" w:space="0"/>
              <w:right w:val="single" w:color="auto" w:sz="4" w:space="0"/>
            </w:tcBorders>
            <w:shd w:val="clear" w:color="auto" w:fill="auto"/>
            <w:vAlign w:val="center"/>
          </w:tcPr>
          <w:p w14:paraId="6C7A7B71">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400</w:t>
            </w:r>
          </w:p>
        </w:tc>
      </w:tr>
      <w:tr w14:paraId="6DB67135">
        <w:tblPrEx>
          <w:tblCellMar>
            <w:top w:w="0" w:type="dxa"/>
            <w:left w:w="108" w:type="dxa"/>
            <w:bottom w:w="0" w:type="dxa"/>
            <w:right w:w="108" w:type="dxa"/>
          </w:tblCellMar>
        </w:tblPrEx>
        <w:trPr>
          <w:trHeight w:val="1351" w:hRule="atLeast"/>
        </w:trPr>
        <w:tc>
          <w:tcPr>
            <w:tcW w:w="3932" w:type="dxa"/>
            <w:tcBorders>
              <w:top w:val="nil"/>
              <w:left w:val="single" w:color="auto" w:sz="4" w:space="0"/>
              <w:bottom w:val="single" w:color="auto" w:sz="4" w:space="0"/>
              <w:right w:val="single" w:color="auto" w:sz="4" w:space="0"/>
            </w:tcBorders>
            <w:shd w:val="clear" w:color="auto" w:fill="auto"/>
            <w:vAlign w:val="center"/>
          </w:tcPr>
          <w:p w14:paraId="3F6DAEC8">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下降气流流速、流入气流流速、噪声、照度、高效过滤器完整性、气流烟雾模式、设备外观与结构完整性</w:t>
            </w:r>
          </w:p>
        </w:tc>
        <w:tc>
          <w:tcPr>
            <w:tcW w:w="2353" w:type="dxa"/>
            <w:tcBorders>
              <w:top w:val="nil"/>
              <w:left w:val="nil"/>
              <w:bottom w:val="single" w:color="auto" w:sz="4" w:space="0"/>
              <w:right w:val="single" w:color="auto" w:sz="4" w:space="0"/>
            </w:tcBorders>
            <w:shd w:val="clear" w:color="auto" w:fill="auto"/>
            <w:vAlign w:val="center"/>
          </w:tcPr>
          <w:p w14:paraId="6DD70353">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40次</w:t>
            </w:r>
          </w:p>
        </w:tc>
        <w:tc>
          <w:tcPr>
            <w:tcW w:w="3993" w:type="dxa"/>
            <w:gridSpan w:val="2"/>
            <w:tcBorders>
              <w:top w:val="single" w:color="auto" w:sz="4" w:space="0"/>
              <w:left w:val="nil"/>
              <w:bottom w:val="single" w:color="auto" w:sz="4" w:space="0"/>
              <w:right w:val="single" w:color="auto" w:sz="4" w:space="0"/>
            </w:tcBorders>
            <w:shd w:val="clear" w:color="auto" w:fill="auto"/>
            <w:vAlign w:val="center"/>
          </w:tcPr>
          <w:p w14:paraId="6CA76ABB">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1000</w:t>
            </w:r>
          </w:p>
        </w:tc>
      </w:tr>
      <w:tr w14:paraId="0650D375">
        <w:tblPrEx>
          <w:tblCellMar>
            <w:top w:w="0" w:type="dxa"/>
            <w:left w:w="108" w:type="dxa"/>
            <w:bottom w:w="0" w:type="dxa"/>
            <w:right w:w="108" w:type="dxa"/>
          </w:tblCellMar>
        </w:tblPrEx>
        <w:trPr>
          <w:trHeight w:val="1568" w:hRule="atLeast"/>
        </w:trPr>
        <w:tc>
          <w:tcPr>
            <w:tcW w:w="3932" w:type="dxa"/>
            <w:tcBorders>
              <w:top w:val="nil"/>
              <w:left w:val="single" w:color="auto" w:sz="4" w:space="0"/>
              <w:bottom w:val="single" w:color="auto" w:sz="4" w:space="0"/>
              <w:right w:val="single" w:color="auto" w:sz="4" w:space="0"/>
            </w:tcBorders>
            <w:shd w:val="clear" w:color="auto" w:fill="auto"/>
            <w:vAlign w:val="center"/>
          </w:tcPr>
          <w:p w14:paraId="0B21E00A">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下降气流流速、流入气流流速、噪声、照度、高效过滤器完整性、气流烟雾模式、设备外观与结构完整性</w:t>
            </w:r>
          </w:p>
        </w:tc>
        <w:tc>
          <w:tcPr>
            <w:tcW w:w="2353" w:type="dxa"/>
            <w:tcBorders>
              <w:top w:val="nil"/>
              <w:left w:val="nil"/>
              <w:bottom w:val="single" w:color="auto" w:sz="4" w:space="0"/>
              <w:right w:val="single" w:color="auto" w:sz="4" w:space="0"/>
            </w:tcBorders>
            <w:shd w:val="clear" w:color="auto" w:fill="auto"/>
            <w:vAlign w:val="center"/>
          </w:tcPr>
          <w:p w14:paraId="2D9C94C2">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10次</w:t>
            </w:r>
          </w:p>
        </w:tc>
        <w:tc>
          <w:tcPr>
            <w:tcW w:w="3993" w:type="dxa"/>
            <w:gridSpan w:val="2"/>
            <w:tcBorders>
              <w:top w:val="single" w:color="auto" w:sz="4" w:space="0"/>
              <w:left w:val="nil"/>
              <w:bottom w:val="single" w:color="auto" w:sz="4" w:space="0"/>
              <w:right w:val="single" w:color="auto" w:sz="4" w:space="0"/>
            </w:tcBorders>
            <w:shd w:val="clear" w:color="auto" w:fill="auto"/>
            <w:vAlign w:val="center"/>
          </w:tcPr>
          <w:p w14:paraId="6B03A7FF">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600</w:t>
            </w:r>
          </w:p>
        </w:tc>
      </w:tr>
      <w:tr w14:paraId="2C44F9A8">
        <w:tblPrEx>
          <w:tblCellMar>
            <w:top w:w="0" w:type="dxa"/>
            <w:left w:w="108" w:type="dxa"/>
            <w:bottom w:w="0" w:type="dxa"/>
            <w:right w:w="108" w:type="dxa"/>
          </w:tblCellMar>
        </w:tblPrEx>
        <w:trPr>
          <w:trHeight w:val="1044" w:hRule="atLeast"/>
        </w:trPr>
        <w:tc>
          <w:tcPr>
            <w:tcW w:w="3932" w:type="dxa"/>
            <w:tcBorders>
              <w:top w:val="nil"/>
              <w:left w:val="single" w:color="auto" w:sz="4" w:space="0"/>
              <w:bottom w:val="single" w:color="auto" w:sz="4" w:space="0"/>
              <w:right w:val="single" w:color="auto" w:sz="4" w:space="0"/>
            </w:tcBorders>
            <w:shd w:val="clear" w:color="auto" w:fill="auto"/>
            <w:vAlign w:val="center"/>
          </w:tcPr>
          <w:p w14:paraId="65CCDFAE">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颗粒物、二氧化硫、林格曼黑度2次/年</w:t>
            </w:r>
          </w:p>
        </w:tc>
        <w:tc>
          <w:tcPr>
            <w:tcW w:w="2353" w:type="dxa"/>
            <w:tcBorders>
              <w:top w:val="nil"/>
              <w:left w:val="nil"/>
              <w:bottom w:val="single" w:color="auto" w:sz="4" w:space="0"/>
              <w:right w:val="single" w:color="auto" w:sz="4" w:space="0"/>
            </w:tcBorders>
            <w:shd w:val="clear" w:color="auto" w:fill="auto"/>
            <w:vAlign w:val="center"/>
          </w:tcPr>
          <w:p w14:paraId="7FAE0E8B">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8次</w:t>
            </w:r>
          </w:p>
        </w:tc>
        <w:tc>
          <w:tcPr>
            <w:tcW w:w="3993" w:type="dxa"/>
            <w:gridSpan w:val="2"/>
            <w:tcBorders>
              <w:top w:val="single" w:color="auto" w:sz="4" w:space="0"/>
              <w:left w:val="nil"/>
              <w:bottom w:val="single" w:color="auto" w:sz="4" w:space="0"/>
              <w:right w:val="single" w:color="auto" w:sz="4" w:space="0"/>
            </w:tcBorders>
            <w:shd w:val="clear" w:color="auto" w:fill="auto"/>
            <w:vAlign w:val="center"/>
          </w:tcPr>
          <w:p w14:paraId="5370DFC2">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2600</w:t>
            </w:r>
          </w:p>
        </w:tc>
      </w:tr>
    </w:tbl>
    <w:p w14:paraId="349D20B2">
      <w:pPr>
        <w:pStyle w:val="52"/>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1.技术规范性：需按照实验室相关操作技术规范执行：</w:t>
      </w:r>
    </w:p>
    <w:p w14:paraId="164FBB10">
      <w:pPr>
        <w:pStyle w:val="52"/>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w:t>
      </w:r>
      <w:r>
        <w:rPr>
          <w:rFonts w:hint="eastAsia"/>
          <w:color w:val="000000" w:themeColor="text1"/>
          <w14:textFill>
            <w14:solidFill>
              <w14:schemeClr w14:val="tx1"/>
            </w14:solidFill>
          </w14:textFill>
        </w:rPr>
        <w:t>1</w:t>
      </w:r>
      <w:r>
        <w:rPr>
          <w:rFonts w:hint="eastAsia"/>
          <w:color w:val="000000" w:themeColor="text1"/>
          <w:kern w:val="0"/>
          <w14:textFill>
            <w14:solidFill>
              <w14:schemeClr w14:val="tx1"/>
            </w14:solidFill>
          </w14:textFill>
        </w:rPr>
        <w:t>）</w:t>
      </w:r>
      <w:r>
        <w:rPr>
          <w:rFonts w:hint="eastAsia"/>
          <w:color w:val="000000" w:themeColor="text1"/>
          <w14:textFill>
            <w14:solidFill>
              <w14:schemeClr w14:val="tx1"/>
            </w14:solidFill>
          </w14:textFill>
        </w:rPr>
        <w:t>洁净区域检测技术要求：①温度、湿度、压差(静压差) 、噪声、新风量、换气次数、最低照度、洁净度、风速均按照洁净室施工及验收规范(附录) GB 50591-2010要求。②细菌总数:医院洁净手术部建筑技术规范(13.3.18) GB 503332013。③具备实验室认可资质，且认可范围需涵盖生物安全柜校准项目。（2）生物安全柜、水平层流洁净台检测技术要求：生物安全柜检测、水平层流洁净台JG170-2005 YY0569-2005，具备规范的资质认定。</w:t>
      </w:r>
    </w:p>
    <w:p w14:paraId="10C933CE">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（3）废气检测技术要求：根据《锅炉大气污染物排放标准》进行检测。</w:t>
      </w:r>
    </w:p>
    <w:p w14:paraId="3C80BA29">
      <w:pPr>
        <w:pStyle w:val="52"/>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2.风险预警及应急响应能力（提供应急响应方案，检验检查结果异常应急预案）</w:t>
      </w:r>
    </w:p>
    <w:p w14:paraId="7559859E">
      <w:pPr>
        <w:pStyle w:val="52"/>
      </w:pPr>
      <w:r>
        <w:rPr>
          <w:rFonts w:hint="eastAsia"/>
        </w:rPr>
        <w:t>3.时间服务，能满足周一到周日（必要时节假日）无条件到医院进行检测。</w:t>
      </w:r>
    </w:p>
    <w:p w14:paraId="1DE91966">
      <w:pPr>
        <w:pStyle w:val="52"/>
        <w:rPr>
          <w:color w:val="000000" w:themeColor="text1"/>
          <w:kern w:val="0"/>
          <w14:textFill>
            <w14:solidFill>
              <w14:schemeClr w14:val="tx1"/>
            </w14:solidFill>
          </w14:textFill>
        </w:rPr>
      </w:pPr>
      <w:r>
        <w:rPr>
          <w:rFonts w:hint="eastAsia"/>
        </w:rPr>
        <w:t>4.</w:t>
      </w:r>
      <w:r>
        <w:rPr>
          <w:rFonts w:hint="eastAsia"/>
          <w:color w:val="000000" w:themeColor="text1"/>
          <w:kern w:val="0"/>
          <w14:textFill>
            <w14:solidFill>
              <w14:schemeClr w14:val="tx1"/>
            </w14:solidFill>
          </w14:textFill>
        </w:rPr>
        <w:t>检验检测质量保障：应有实验室室间质评管理规范并严格执行。</w:t>
      </w:r>
    </w:p>
    <w:p w14:paraId="5BA5796D">
      <w:pPr>
        <w:pStyle w:val="52"/>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5.</w:t>
      </w:r>
      <w:r>
        <w:rPr>
          <w:rFonts w:hint="eastAsia"/>
        </w:rPr>
        <w:t>数据管理服务，建立高效数据管理系统，做好检测数据收集、报告与管理。</w:t>
      </w:r>
    </w:p>
    <w:p w14:paraId="12C4795A">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color w:val="000000" w:themeColor="text1"/>
          <w:kern w:val="0"/>
          <w14:textFill>
            <w14:solidFill>
              <w14:schemeClr w14:val="tx1"/>
            </w14:solidFill>
          </w14:textFill>
        </w:rPr>
        <w:t>能提供专业的检验检测结果解读的技术咨询</w:t>
      </w:r>
      <w:r>
        <w:rPr>
          <w:rFonts w:hint="eastAsia"/>
          <w:color w:val="000000" w:themeColor="text1"/>
          <w14:textFill>
            <w14:solidFill>
              <w14:schemeClr w14:val="tx1"/>
            </w14:solidFill>
          </w14:textFill>
        </w:rPr>
        <w:t>。</w:t>
      </w:r>
    </w:p>
    <w:p w14:paraId="33970C38">
      <w:pPr>
        <w:pStyle w:val="52"/>
      </w:pPr>
      <w:r>
        <w:rPr>
          <w:rFonts w:hint="eastAsia"/>
        </w:rPr>
        <w:t>7.本项目应遵循保密服务，未经医院授权，不能透露给第三方。</w:t>
      </w:r>
    </w:p>
    <w:p w14:paraId="07463703">
      <w:pPr>
        <w:pStyle w:val="52"/>
      </w:pPr>
      <w:r>
        <w:rPr>
          <w:rFonts w:hint="eastAsia"/>
        </w:rPr>
        <w:t>8.深度分析报告：在服务年度结束后，供应商应提供一份全面的《年度环境卫生学监测分析报告》。</w:t>
      </w:r>
    </w:p>
    <w:p w14:paraId="6B640E57">
      <w:pPr>
        <w:pStyle w:val="10"/>
        <w:ind w:firstLine="630" w:firstLineChars="300"/>
        <w:rPr>
          <w:rFonts w:hint="eastAsia"/>
        </w:rPr>
      </w:pPr>
      <w:r>
        <w:rPr>
          <w:rFonts w:hint="eastAsia"/>
        </w:rPr>
        <w:t>9.固定项目联系人。</w:t>
      </w:r>
    </w:p>
    <w:p w14:paraId="7018EC3F">
      <w:pPr>
        <w:pStyle w:val="5"/>
        <w:rPr>
          <w:rFonts w:hint="eastAsia"/>
          <w:lang w:val="en-US" w:eastAsia="zh-CN"/>
        </w:rPr>
      </w:pPr>
    </w:p>
    <w:p w14:paraId="3031D67A">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6068EF64">
      <w:pPr>
        <w:spacing w:line="360" w:lineRule="auto"/>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1.验收合格标准：</w:t>
      </w:r>
    </w:p>
    <w:p w14:paraId="121844CE">
      <w:pPr>
        <w:spacing w:line="360" w:lineRule="auto"/>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（1）检测工作按科室约定时间完成；</w:t>
      </w:r>
    </w:p>
    <w:p w14:paraId="4D5B96EA">
      <w:pPr>
        <w:spacing w:line="360" w:lineRule="auto"/>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（2）提交的检测报告完整、规范，符合约定要求；</w:t>
      </w:r>
    </w:p>
    <w:p w14:paraId="455E8356">
      <w:pP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2.付款：采样按照科室要求完成、采购人收到供应商出具的发票并完善所有的付款手续之日起三个月内向供应商支付货款。</w:t>
      </w:r>
    </w:p>
    <w:p w14:paraId="41C92730">
      <w:pPr>
        <w:rPr>
          <w:rFonts w:hint="default" w:ascii="仿宋_GB2312" w:hAnsi="微软雅黑" w:eastAsiaTheme="minorEastAsia" w:cstheme="minorBidi"/>
          <w:color w:val="000000"/>
          <w:spacing w:val="2"/>
          <w:kern w:val="2"/>
          <w:sz w:val="21"/>
          <w:szCs w:val="26"/>
          <w:shd w:val="clear" w:color="auto" w:fill="FFFFFF"/>
          <w:lang w:val="en-US" w:eastAsia="zh-CN" w:bidi="zh-CN"/>
        </w:rPr>
      </w:pPr>
      <w:r>
        <w:rPr>
          <w:rFonts w:hint="eastAsia" w:ascii="仿宋_GB2312" w:hAnsi="微软雅黑" w:cstheme="minorBidi"/>
          <w:color w:val="000000"/>
          <w:spacing w:val="2"/>
          <w:kern w:val="2"/>
          <w:sz w:val="21"/>
          <w:szCs w:val="26"/>
          <w:shd w:val="clear" w:color="auto" w:fill="FFFFFF"/>
          <w:lang w:val="en-US" w:eastAsia="zh-CN" w:bidi="zh-CN"/>
        </w:rPr>
        <w:t>3.服务期三年。</w:t>
      </w:r>
    </w:p>
    <w:p w14:paraId="20B00812">
      <w:pPr>
        <w:pStyle w:val="20"/>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15800F1">
      <w:pPr>
        <w:pStyle w:val="20"/>
        <w:ind w:firstLine="420" w:firstLineChars="200"/>
      </w:pPr>
      <w:r>
        <w:br w:type="page"/>
      </w:r>
    </w:p>
    <w:p w14:paraId="70A0421E">
      <w:pPr>
        <w:pStyle w:val="2"/>
        <w:numPr>
          <w:ilvl w:val="0"/>
          <w:numId w:val="19"/>
        </w:numPr>
        <w:ind w:left="402"/>
        <w:rPr>
          <w:rFonts w:hint="eastAsia"/>
        </w:rPr>
      </w:pPr>
      <w:r>
        <w:rPr>
          <w:rFonts w:hint="eastAsia"/>
        </w:rPr>
        <w:t>评分细则</w:t>
      </w:r>
    </w:p>
    <w:tbl>
      <w:tblPr>
        <w:tblStyle w:val="22"/>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85"/>
        <w:gridCol w:w="7668"/>
      </w:tblGrid>
      <w:tr w14:paraId="6CD2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785" w:type="dxa"/>
            <w:vAlign w:val="center"/>
          </w:tcPr>
          <w:p w14:paraId="782F1094">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报价</w:t>
            </w:r>
          </w:p>
          <w:p w14:paraId="409BE35E">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30%</w:t>
            </w:r>
          </w:p>
        </w:tc>
        <w:tc>
          <w:tcPr>
            <w:tcW w:w="785" w:type="dxa"/>
            <w:vAlign w:val="center"/>
          </w:tcPr>
          <w:p w14:paraId="376E72AD">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30分</w:t>
            </w:r>
          </w:p>
        </w:tc>
        <w:tc>
          <w:tcPr>
            <w:tcW w:w="7668" w:type="dxa"/>
            <w:vAlign w:val="center"/>
          </w:tcPr>
          <w:p w14:paraId="23323569">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综合评分法中的价格分统一采用低价优先法计算，即满足磋商文件要求且磋商报价最低的磋商报价为评审基准价，其价格分为满分。其他供应商的价格分统一按照下列公式计算：</w:t>
            </w:r>
          </w:p>
          <w:p w14:paraId="5837B976">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磋商报价得分=(磋商基准价／最后磋商报价)×100×价格权值</w:t>
            </w:r>
          </w:p>
        </w:tc>
      </w:tr>
      <w:tr w14:paraId="2FA9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785" w:type="dxa"/>
            <w:vAlign w:val="center"/>
          </w:tcPr>
          <w:p w14:paraId="6D096BCF">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服务要求</w:t>
            </w:r>
          </w:p>
          <w:p w14:paraId="1D79DEB6">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22%</w:t>
            </w:r>
          </w:p>
        </w:tc>
        <w:tc>
          <w:tcPr>
            <w:tcW w:w="785" w:type="dxa"/>
            <w:vAlign w:val="center"/>
          </w:tcPr>
          <w:p w14:paraId="67619EFE">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22分</w:t>
            </w:r>
          </w:p>
        </w:tc>
        <w:tc>
          <w:tcPr>
            <w:tcW w:w="7668" w:type="dxa"/>
            <w:vAlign w:val="center"/>
          </w:tcPr>
          <w:p w14:paraId="2C82C418">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投标人完全符合技术要求没有负偏离，进行综合评审：计划完善、科学合理且有针对性的实施措施，不存在凭空编造、逻辑漏洞以及不可能实现的夸大情形等情况得22分。共计9项</w:t>
            </w:r>
            <w:r>
              <w:rPr>
                <w:rFonts w:hint="eastAsia" w:ascii="仿宋_GB2312" w:hAnsi="微软雅黑" w:cstheme="minorBidi"/>
                <w:color w:val="000000"/>
                <w:spacing w:val="2"/>
                <w:kern w:val="2"/>
                <w:sz w:val="21"/>
                <w:szCs w:val="26"/>
                <w:shd w:val="clear" w:color="auto" w:fill="FFFFFF"/>
                <w:lang w:val="zh-TW" w:eastAsia="zh-CN" w:bidi="zh-CN"/>
              </w:rPr>
              <w:t>，</w:t>
            </w:r>
            <w:r>
              <w:rPr>
                <w:rFonts w:hint="eastAsia" w:ascii="仿宋_GB2312" w:hAnsi="微软雅黑" w:eastAsiaTheme="minorEastAsia" w:cstheme="minorBidi"/>
                <w:color w:val="000000"/>
                <w:spacing w:val="2"/>
                <w:kern w:val="2"/>
                <w:sz w:val="21"/>
                <w:szCs w:val="26"/>
                <w:shd w:val="clear" w:color="auto" w:fill="FFFFFF"/>
                <w:lang w:val="zh-TW" w:eastAsia="zh-CN" w:bidi="zh-CN"/>
              </w:rPr>
              <w:t>每项2.44分，每有一项有负偏离扣2.44分。</w:t>
            </w:r>
            <w:bookmarkStart w:id="84" w:name="_GoBack"/>
            <w:bookmarkEnd w:id="84"/>
          </w:p>
        </w:tc>
      </w:tr>
      <w:tr w14:paraId="7209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785" w:type="dxa"/>
            <w:vMerge w:val="restart"/>
            <w:vAlign w:val="center"/>
          </w:tcPr>
          <w:p w14:paraId="183706D8">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服务方案</w:t>
            </w:r>
          </w:p>
          <w:p w14:paraId="120E3D7A">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30%</w:t>
            </w:r>
          </w:p>
        </w:tc>
        <w:tc>
          <w:tcPr>
            <w:tcW w:w="785" w:type="dxa"/>
            <w:vAlign w:val="center"/>
          </w:tcPr>
          <w:p w14:paraId="2BFC7FE5">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实施方案</w:t>
            </w:r>
          </w:p>
          <w:p w14:paraId="47591CDB">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10分</w:t>
            </w:r>
          </w:p>
        </w:tc>
        <w:tc>
          <w:tcPr>
            <w:tcW w:w="7668" w:type="dxa"/>
            <w:vAlign w:val="center"/>
          </w:tcPr>
          <w:p w14:paraId="40B4C57D">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磋商小组根据供应商针对本项目提供的实施方案（包括但不限于①项目前期准备；②项目实施措施；③工作进度；④管理流程；⑤安全保障等）进行综合评审：方案完善、科学合理且具有针对性的实施措施，</w:t>
            </w:r>
            <w:bookmarkStart w:id="10" w:name="OLE_LINK1"/>
            <w:bookmarkStart w:id="11" w:name="OLE_LINK2"/>
            <w:r>
              <w:rPr>
                <w:rFonts w:hint="eastAsia" w:ascii="仿宋_GB2312" w:hAnsi="微软雅黑" w:eastAsiaTheme="minorEastAsia" w:cstheme="minorBidi"/>
                <w:color w:val="000000"/>
                <w:spacing w:val="2"/>
                <w:kern w:val="2"/>
                <w:sz w:val="21"/>
                <w:szCs w:val="26"/>
                <w:shd w:val="clear" w:color="auto" w:fill="FFFFFF"/>
                <w:lang w:val="zh-TW" w:eastAsia="zh-CN" w:bidi="zh-CN"/>
              </w:rPr>
              <w:t>不存在凭空编造、逻辑漏洞以及不可能实现的夸大情形等情况的得10分，每有一项描述不完善、存在缺陷、实施措施不具备针对性或未提供扣4分，扣完为止</w:t>
            </w:r>
            <w:bookmarkEnd w:id="10"/>
            <w:bookmarkEnd w:id="11"/>
            <w:r>
              <w:rPr>
                <w:rFonts w:hint="eastAsia" w:ascii="仿宋_GB2312" w:hAnsi="微软雅黑" w:eastAsiaTheme="minorEastAsia" w:cstheme="minorBidi"/>
                <w:color w:val="000000"/>
                <w:spacing w:val="2"/>
                <w:kern w:val="2"/>
                <w:sz w:val="21"/>
                <w:szCs w:val="26"/>
                <w:shd w:val="clear" w:color="auto" w:fill="FFFFFF"/>
                <w:lang w:val="zh-TW" w:eastAsia="zh-CN" w:bidi="zh-CN"/>
              </w:rPr>
              <w:t>。</w:t>
            </w:r>
          </w:p>
        </w:tc>
      </w:tr>
      <w:tr w14:paraId="3AB6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85" w:type="dxa"/>
            <w:vMerge w:val="continue"/>
            <w:vAlign w:val="center"/>
          </w:tcPr>
          <w:p w14:paraId="66351E17">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p>
        </w:tc>
        <w:tc>
          <w:tcPr>
            <w:tcW w:w="785" w:type="dxa"/>
            <w:vAlign w:val="center"/>
          </w:tcPr>
          <w:p w14:paraId="1ED04049">
            <w:pPr>
              <w:widowControl/>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质量控制措施</w:t>
            </w:r>
          </w:p>
          <w:p w14:paraId="363EE186">
            <w:pPr>
              <w:widowControl/>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10分</w:t>
            </w:r>
          </w:p>
        </w:tc>
        <w:tc>
          <w:tcPr>
            <w:tcW w:w="7668" w:type="dxa"/>
            <w:vAlign w:val="center"/>
          </w:tcPr>
          <w:p w14:paraId="255EA394">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磋商小组根据供应商针对本项目的质量控制措施（包括但不限于：①采样、样品保存和流转；②物资管理和设备校准；③分析质控措施和报告审核等）按照项目特性进行综合评审：方案完善、科学合理且有利于项目实施，不存在凭空编造、逻辑漏洞以及不可能实现的夸大情形等情况的得10分，每有一项描述不完善、存在缺陷、实施措施不具备针对性或未提供扣3分，扣完为止。</w:t>
            </w:r>
          </w:p>
        </w:tc>
      </w:tr>
      <w:tr w14:paraId="3B7C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785" w:type="dxa"/>
            <w:vMerge w:val="continue"/>
            <w:vAlign w:val="center"/>
          </w:tcPr>
          <w:p w14:paraId="79DD90E3">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p>
        </w:tc>
        <w:tc>
          <w:tcPr>
            <w:tcW w:w="785" w:type="dxa"/>
            <w:vAlign w:val="center"/>
          </w:tcPr>
          <w:p w14:paraId="440C47B4">
            <w:pPr>
              <w:widowControl/>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采样及运输方案</w:t>
            </w:r>
          </w:p>
          <w:p w14:paraId="2627AC51">
            <w:pPr>
              <w:widowControl/>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10分</w:t>
            </w:r>
          </w:p>
        </w:tc>
        <w:tc>
          <w:tcPr>
            <w:tcW w:w="7668" w:type="dxa"/>
            <w:vAlign w:val="center"/>
          </w:tcPr>
          <w:p w14:paraId="5B0A76CA">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磋商小组根据供应商针对本项目的采样及运输方案（包括但不限于：①采样流程；②保存条件及运输要求，③采样时效性）。按照项目特性进行综合评审：方案完善、科学合理且有利于项目实施，不存在凭空编造、逻辑漏洞以及不可能实现的夸大情形等情况的得10分，每有一项描述不完善、存在缺陷、实施措施不具备针对性或未提供扣3分，扣完为止。</w:t>
            </w:r>
          </w:p>
        </w:tc>
      </w:tr>
      <w:tr w14:paraId="7C56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233D50E0">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人员配置</w:t>
            </w:r>
          </w:p>
          <w:p w14:paraId="0254633E">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10%</w:t>
            </w:r>
          </w:p>
        </w:tc>
        <w:tc>
          <w:tcPr>
            <w:tcW w:w="785" w:type="dxa"/>
            <w:tcBorders>
              <w:top w:val="single" w:color="auto" w:sz="4" w:space="0"/>
              <w:left w:val="single" w:color="auto" w:sz="4" w:space="0"/>
              <w:bottom w:val="single" w:color="auto" w:sz="4" w:space="0"/>
              <w:right w:val="single" w:color="auto" w:sz="4" w:space="0"/>
            </w:tcBorders>
            <w:vAlign w:val="center"/>
          </w:tcPr>
          <w:p w14:paraId="7A6FE809">
            <w:pPr>
              <w:widowControl/>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10分</w:t>
            </w:r>
          </w:p>
        </w:tc>
        <w:tc>
          <w:tcPr>
            <w:tcW w:w="7668" w:type="dxa"/>
            <w:tcBorders>
              <w:top w:val="single" w:color="auto" w:sz="4" w:space="0"/>
              <w:left w:val="single" w:color="auto" w:sz="4" w:space="0"/>
              <w:bottom w:val="single" w:color="auto" w:sz="4" w:space="0"/>
              <w:right w:val="single" w:color="auto" w:sz="4" w:space="0"/>
            </w:tcBorders>
            <w:vAlign w:val="center"/>
          </w:tcPr>
          <w:p w14:paraId="3225890C">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1、拟派项目技术负责人具备高级职称的得2分；具备中级职称的得1分；此项最多得2分。</w:t>
            </w:r>
          </w:p>
          <w:p w14:paraId="650771CA">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2、供应商拟投入本项目人员（除项目技术负责人）具备高级职称的，每有1人得1分，具备中级职称的，每有1人得0.5分。此项最多得3分。</w:t>
            </w:r>
          </w:p>
          <w:p w14:paraId="69A549D1">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3、配备符合条件的现场采样组（符合条件为具有足够空间及车辆、采样人员、现场检测仪条件），提供证明材料（照片）得2分。</w:t>
            </w:r>
          </w:p>
          <w:p w14:paraId="050DC54D">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注：提供相关人员的相关证书复印件。</w:t>
            </w:r>
          </w:p>
        </w:tc>
      </w:tr>
      <w:tr w14:paraId="0F1E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85" w:type="dxa"/>
            <w:vMerge w:val="restart"/>
            <w:tcBorders>
              <w:top w:val="single" w:color="auto" w:sz="4" w:space="0"/>
              <w:left w:val="single" w:color="auto" w:sz="4" w:space="0"/>
              <w:bottom w:val="single" w:color="auto" w:sz="4" w:space="0"/>
              <w:right w:val="single" w:color="auto" w:sz="4" w:space="0"/>
            </w:tcBorders>
            <w:vAlign w:val="center"/>
          </w:tcPr>
          <w:p w14:paraId="26AE60CF">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履约能力</w:t>
            </w:r>
          </w:p>
          <w:p w14:paraId="0AC4A711">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8%</w:t>
            </w:r>
          </w:p>
        </w:tc>
        <w:tc>
          <w:tcPr>
            <w:tcW w:w="785" w:type="dxa"/>
            <w:tcBorders>
              <w:top w:val="single" w:color="auto" w:sz="4" w:space="0"/>
              <w:left w:val="single" w:color="auto" w:sz="4" w:space="0"/>
              <w:bottom w:val="single" w:color="auto" w:sz="4" w:space="0"/>
              <w:right w:val="single" w:color="auto" w:sz="4" w:space="0"/>
            </w:tcBorders>
            <w:vAlign w:val="center"/>
          </w:tcPr>
          <w:p w14:paraId="3549DDB1">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6分</w:t>
            </w:r>
          </w:p>
        </w:tc>
        <w:tc>
          <w:tcPr>
            <w:tcW w:w="7668" w:type="dxa"/>
            <w:tcBorders>
              <w:top w:val="single" w:color="auto" w:sz="4" w:space="0"/>
              <w:left w:val="single" w:color="auto" w:sz="4" w:space="0"/>
              <w:bottom w:val="single" w:color="auto" w:sz="4" w:space="0"/>
              <w:right w:val="single" w:color="auto" w:sz="4" w:space="0"/>
            </w:tcBorders>
            <w:vAlign w:val="center"/>
          </w:tcPr>
          <w:p w14:paraId="6DCA90B6">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具有本项目所需主要分析设备，并提供实验室检测设备清单，有得6分，无不得分。</w:t>
            </w:r>
          </w:p>
        </w:tc>
      </w:tr>
      <w:tr w14:paraId="3E6F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5" w:type="dxa"/>
            <w:vMerge w:val="continue"/>
            <w:tcBorders>
              <w:top w:val="single" w:color="auto" w:sz="4" w:space="0"/>
              <w:left w:val="single" w:color="auto" w:sz="4" w:space="0"/>
              <w:bottom w:val="single" w:color="auto" w:sz="4" w:space="0"/>
              <w:right w:val="single" w:color="auto" w:sz="4" w:space="0"/>
            </w:tcBorders>
            <w:vAlign w:val="center"/>
          </w:tcPr>
          <w:p w14:paraId="210415C9">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p>
        </w:tc>
        <w:tc>
          <w:tcPr>
            <w:tcW w:w="785" w:type="dxa"/>
            <w:tcBorders>
              <w:top w:val="single" w:color="auto" w:sz="4" w:space="0"/>
              <w:left w:val="single" w:color="auto" w:sz="4" w:space="0"/>
              <w:bottom w:val="single" w:color="auto" w:sz="4" w:space="0"/>
              <w:right w:val="single" w:color="auto" w:sz="4" w:space="0"/>
            </w:tcBorders>
            <w:vAlign w:val="center"/>
          </w:tcPr>
          <w:p w14:paraId="34C48734">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2分</w:t>
            </w:r>
          </w:p>
        </w:tc>
        <w:tc>
          <w:tcPr>
            <w:tcW w:w="7668" w:type="dxa"/>
            <w:tcBorders>
              <w:top w:val="single" w:color="auto" w:sz="4" w:space="0"/>
              <w:left w:val="single" w:color="auto" w:sz="4" w:space="0"/>
              <w:bottom w:val="single" w:color="auto" w:sz="4" w:space="0"/>
              <w:right w:val="single" w:color="auto" w:sz="4" w:space="0"/>
            </w:tcBorders>
            <w:vAlign w:val="center"/>
          </w:tcPr>
          <w:p w14:paraId="72839ECB">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供应商自有类似项目业绩，提供一个得2分，满分2分。</w:t>
            </w:r>
            <w:r>
              <w:rPr>
                <w:rFonts w:hint="eastAsia" w:ascii="仿宋_GB2312" w:hAnsi="微软雅黑" w:eastAsiaTheme="minorEastAsia" w:cstheme="minorBidi"/>
                <w:color w:val="000000"/>
                <w:spacing w:val="2"/>
                <w:kern w:val="2"/>
                <w:sz w:val="21"/>
                <w:szCs w:val="26"/>
                <w:shd w:val="clear" w:color="auto" w:fill="FFFFFF"/>
                <w:lang w:val="zh-TW" w:eastAsia="zh-CN" w:bidi="zh-CN"/>
              </w:rPr>
              <w:br w:type="textWrapping"/>
            </w:r>
            <w:r>
              <w:rPr>
                <w:rFonts w:hint="eastAsia" w:ascii="仿宋_GB2312" w:hAnsi="微软雅黑" w:eastAsiaTheme="minorEastAsia" w:cstheme="minorBidi"/>
                <w:color w:val="000000"/>
                <w:spacing w:val="2"/>
                <w:kern w:val="2"/>
                <w:sz w:val="21"/>
                <w:szCs w:val="26"/>
                <w:shd w:val="clear" w:color="auto" w:fill="FFFFFF"/>
                <w:lang w:val="zh-TW" w:eastAsia="zh-CN" w:bidi="zh-CN"/>
              </w:rPr>
              <w:t>注：提供中标（成交）通知书或合同复印件并加盖供应商鲜章。</w:t>
            </w:r>
          </w:p>
        </w:tc>
      </w:tr>
    </w:tbl>
    <w:p w14:paraId="2C31D296">
      <w:pPr>
        <w:rPr>
          <w:rFonts w:hint="eastAsia"/>
        </w:rPr>
      </w:pPr>
    </w:p>
    <w:p w14:paraId="087DA9F2">
      <w:pPr>
        <w:pStyle w:val="10"/>
        <w:rPr>
          <w:rFonts w:hint="eastAsia"/>
        </w:rPr>
      </w:pPr>
    </w:p>
    <w:p w14:paraId="252BC2BD">
      <w:pPr>
        <w:rPr>
          <w:rFonts w:hint="eastAsia"/>
        </w:rPr>
      </w:pPr>
    </w:p>
    <w:p w14:paraId="6802AE5C">
      <w:pPr>
        <w:pStyle w:val="2"/>
        <w:numPr>
          <w:ilvl w:val="0"/>
          <w:numId w:val="0"/>
        </w:numPr>
        <w:jc w:val="both"/>
        <w:rPr>
          <w:rFonts w:hint="eastAsia"/>
        </w:rPr>
      </w:pPr>
      <w:bookmarkStart w:id="12" w:name="_Toc5913"/>
      <w:bookmarkStart w:id="13" w:name="_Toc29819"/>
      <w:bookmarkStart w:id="14" w:name="_Toc4960"/>
    </w:p>
    <w:p w14:paraId="4A63B933">
      <w:pPr>
        <w:pStyle w:val="2"/>
        <w:numPr>
          <w:ilvl w:val="0"/>
          <w:numId w:val="0"/>
        </w:numPr>
        <w:ind w:firstLine="3253" w:firstLineChars="900"/>
        <w:jc w:val="both"/>
      </w:pPr>
      <w:r>
        <w:rPr>
          <w:rFonts w:hint="eastAsia"/>
        </w:rPr>
        <w:t>第六章 响应文件格式</w:t>
      </w:r>
    </w:p>
    <w:p w14:paraId="5D1246A6">
      <w:pPr>
        <w:jc w:val="left"/>
        <w:rPr>
          <w:rFonts w:ascii="仿宋" w:hAnsi="仿宋" w:eastAsia="仿宋" w:cs="仿宋"/>
          <w:sz w:val="28"/>
          <w:szCs w:val="24"/>
        </w:rPr>
      </w:pPr>
    </w:p>
    <w:p w14:paraId="63471D66">
      <w:pPr>
        <w:jc w:val="left"/>
        <w:rPr>
          <w:rFonts w:ascii="仿宋" w:hAnsi="仿宋" w:eastAsia="仿宋" w:cs="仿宋"/>
          <w:sz w:val="28"/>
          <w:szCs w:val="24"/>
        </w:rPr>
      </w:pPr>
      <w:r>
        <w:rPr>
          <w:rFonts w:hint="eastAsia" w:ascii="仿宋" w:hAnsi="仿宋" w:eastAsia="仿宋" w:cs="仿宋"/>
          <w:sz w:val="28"/>
          <w:szCs w:val="24"/>
        </w:rPr>
        <w:t>（响应文件封面）</w:t>
      </w:r>
      <w:bookmarkEnd w:id="12"/>
      <w:bookmarkEnd w:id="13"/>
      <w:bookmarkEnd w:id="14"/>
    </w:p>
    <w:p w14:paraId="6C43378F">
      <w:pPr>
        <w:rPr>
          <w:rFonts w:ascii="仿宋" w:hAnsi="仿宋" w:eastAsia="仿宋" w:cs="仿宋"/>
          <w:sz w:val="28"/>
          <w:szCs w:val="28"/>
        </w:rPr>
      </w:pPr>
    </w:p>
    <w:p w14:paraId="5321D20A">
      <w:pPr>
        <w:jc w:val="left"/>
        <w:rPr>
          <w:rFonts w:ascii="仿宋" w:hAnsi="仿宋" w:eastAsia="仿宋" w:cs="仿宋"/>
          <w:sz w:val="24"/>
          <w:szCs w:val="24"/>
        </w:rPr>
      </w:pPr>
      <w:bookmarkStart w:id="15" w:name="_Toc30609"/>
      <w:bookmarkStart w:id="16" w:name="_Toc9428"/>
      <w:bookmarkStart w:id="17" w:name="_Toc19851"/>
      <w:r>
        <w:rPr>
          <w:rFonts w:hint="eastAsia" w:ascii="仿宋" w:hAnsi="仿宋" w:eastAsia="仿宋" w:cs="仿宋"/>
          <w:sz w:val="24"/>
          <w:szCs w:val="24"/>
        </w:rPr>
        <w:t>项目名称：</w:t>
      </w:r>
      <w:bookmarkEnd w:id="15"/>
      <w:bookmarkEnd w:id="16"/>
      <w:bookmarkEnd w:id="17"/>
    </w:p>
    <w:p w14:paraId="09C74AF7">
      <w:pPr>
        <w:jc w:val="left"/>
        <w:rPr>
          <w:rFonts w:ascii="仿宋" w:hAnsi="仿宋" w:eastAsia="仿宋" w:cs="仿宋"/>
          <w:sz w:val="24"/>
          <w:szCs w:val="24"/>
        </w:rPr>
      </w:pPr>
      <w:bookmarkStart w:id="18" w:name="_Toc32352"/>
      <w:bookmarkStart w:id="19" w:name="_Toc1544"/>
      <w:bookmarkStart w:id="20" w:name="_Toc9041"/>
    </w:p>
    <w:p w14:paraId="0AA6EE22">
      <w:pPr>
        <w:jc w:val="left"/>
        <w:rPr>
          <w:rFonts w:ascii="仿宋" w:hAnsi="仿宋" w:eastAsia="仿宋" w:cs="仿宋"/>
          <w:sz w:val="24"/>
          <w:szCs w:val="24"/>
        </w:rPr>
      </w:pPr>
      <w:r>
        <w:rPr>
          <w:rFonts w:hint="eastAsia" w:ascii="仿宋" w:hAnsi="仿宋" w:eastAsia="仿宋" w:cs="仿宋"/>
          <w:sz w:val="24"/>
          <w:szCs w:val="24"/>
        </w:rPr>
        <w:t>项目编号：</w:t>
      </w:r>
      <w:bookmarkEnd w:id="18"/>
      <w:bookmarkEnd w:id="19"/>
      <w:bookmarkEnd w:id="20"/>
    </w:p>
    <w:p w14:paraId="047A13B7">
      <w:pPr>
        <w:rPr>
          <w:rFonts w:ascii="仿宋" w:hAnsi="仿宋" w:eastAsia="仿宋" w:cs="仿宋"/>
        </w:rPr>
      </w:pPr>
    </w:p>
    <w:p w14:paraId="2DE04E0D">
      <w:pPr>
        <w:rPr>
          <w:rFonts w:ascii="仿宋" w:hAnsi="仿宋" w:eastAsia="仿宋" w:cs="仿宋"/>
        </w:rPr>
      </w:pPr>
    </w:p>
    <w:p w14:paraId="6E897DEB">
      <w:pPr>
        <w:rPr>
          <w:rFonts w:ascii="仿宋" w:hAnsi="仿宋" w:eastAsia="仿宋" w:cs="仿宋"/>
        </w:rPr>
      </w:pPr>
    </w:p>
    <w:p w14:paraId="63402F72">
      <w:pPr>
        <w:jc w:val="left"/>
        <w:rPr>
          <w:rFonts w:ascii="仿宋" w:hAnsi="仿宋" w:eastAsia="仿宋" w:cs="仿宋"/>
          <w:sz w:val="84"/>
          <w:szCs w:val="24"/>
        </w:rPr>
      </w:pPr>
      <w:bookmarkStart w:id="21" w:name="_Toc24097"/>
      <w:bookmarkStart w:id="22" w:name="_Toc21472"/>
    </w:p>
    <w:bookmarkEnd w:id="21"/>
    <w:bookmarkEnd w:id="22"/>
    <w:p w14:paraId="4413F76A">
      <w:pPr>
        <w:jc w:val="center"/>
        <w:rPr>
          <w:rFonts w:ascii="仿宋" w:hAnsi="仿宋" w:eastAsia="仿宋" w:cs="仿宋"/>
          <w:sz w:val="96"/>
          <w:szCs w:val="24"/>
        </w:rPr>
      </w:pPr>
      <w:r>
        <w:rPr>
          <w:rFonts w:hint="eastAsia" w:ascii="仿宋" w:hAnsi="仿宋" w:eastAsia="仿宋" w:cs="仿宋"/>
          <w:sz w:val="96"/>
          <w:szCs w:val="24"/>
        </w:rPr>
        <w:t>响应文件</w:t>
      </w:r>
    </w:p>
    <w:p w14:paraId="505BF567">
      <w:pPr>
        <w:rPr>
          <w:rFonts w:ascii="仿宋" w:hAnsi="仿宋" w:eastAsia="仿宋" w:cs="仿宋"/>
        </w:rPr>
      </w:pPr>
    </w:p>
    <w:p w14:paraId="5260972D">
      <w:pPr>
        <w:rPr>
          <w:rFonts w:ascii="仿宋" w:hAnsi="仿宋" w:eastAsia="仿宋" w:cs="仿宋"/>
        </w:rPr>
      </w:pPr>
    </w:p>
    <w:p w14:paraId="7FEFE42D">
      <w:pPr>
        <w:rPr>
          <w:rFonts w:ascii="仿宋" w:hAnsi="仿宋" w:eastAsia="仿宋" w:cs="仿宋"/>
        </w:rPr>
      </w:pPr>
    </w:p>
    <w:p w14:paraId="4D263056">
      <w:pPr>
        <w:rPr>
          <w:rFonts w:ascii="仿宋" w:hAnsi="仿宋" w:eastAsia="仿宋" w:cs="仿宋"/>
        </w:rPr>
      </w:pPr>
    </w:p>
    <w:p w14:paraId="111DBF69">
      <w:pPr>
        <w:rPr>
          <w:rFonts w:ascii="仿宋" w:hAnsi="仿宋" w:eastAsia="仿宋" w:cs="仿宋"/>
        </w:rPr>
      </w:pPr>
    </w:p>
    <w:p w14:paraId="090F0946">
      <w:pPr>
        <w:rPr>
          <w:rFonts w:ascii="仿宋" w:hAnsi="仿宋" w:eastAsia="仿宋" w:cs="仿宋"/>
        </w:rPr>
      </w:pPr>
    </w:p>
    <w:p w14:paraId="5EE62F2E">
      <w:pPr>
        <w:jc w:val="left"/>
        <w:rPr>
          <w:rFonts w:ascii="仿宋" w:hAnsi="仿宋" w:eastAsia="仿宋" w:cs="仿宋"/>
          <w:sz w:val="28"/>
          <w:szCs w:val="24"/>
        </w:rPr>
      </w:pPr>
      <w:bookmarkStart w:id="23" w:name="_Toc32749"/>
      <w:bookmarkStart w:id="24" w:name="_Toc17163"/>
      <w:bookmarkStart w:id="25" w:name="_Toc1690"/>
      <w:bookmarkStart w:id="26" w:name="_Toc24859"/>
      <w:r>
        <w:rPr>
          <w:rFonts w:hint="eastAsia" w:ascii="仿宋" w:hAnsi="仿宋" w:eastAsia="仿宋" w:cs="仿宋"/>
          <w:sz w:val="28"/>
          <w:szCs w:val="24"/>
        </w:rPr>
        <w:t>供应商名称（公章）：</w:t>
      </w:r>
      <w:bookmarkEnd w:id="23"/>
      <w:bookmarkEnd w:id="24"/>
      <w:bookmarkEnd w:id="25"/>
      <w:bookmarkEnd w:id="26"/>
    </w:p>
    <w:p w14:paraId="396DC5DF">
      <w:pPr>
        <w:jc w:val="left"/>
        <w:rPr>
          <w:rFonts w:ascii="仿宋" w:hAnsi="仿宋" w:eastAsia="仿宋" w:cs="仿宋"/>
          <w:sz w:val="28"/>
          <w:szCs w:val="24"/>
        </w:rPr>
      </w:pPr>
      <w:bookmarkStart w:id="27" w:name="_Toc3558"/>
      <w:bookmarkStart w:id="28" w:name="_Toc6803"/>
      <w:bookmarkStart w:id="29" w:name="_Toc17905"/>
      <w:bookmarkStart w:id="30" w:name="_Toc24123"/>
      <w:r>
        <w:rPr>
          <w:rFonts w:hint="eastAsia" w:ascii="仿宋" w:hAnsi="仿宋" w:eastAsia="仿宋" w:cs="仿宋"/>
          <w:sz w:val="28"/>
          <w:szCs w:val="24"/>
        </w:rPr>
        <w:t>法定代表人或授权代理人（签字）：</w:t>
      </w:r>
      <w:bookmarkEnd w:id="27"/>
      <w:bookmarkEnd w:id="28"/>
      <w:bookmarkEnd w:id="29"/>
      <w:bookmarkEnd w:id="30"/>
    </w:p>
    <w:p w14:paraId="598B7326">
      <w:pPr>
        <w:jc w:val="left"/>
        <w:rPr>
          <w:rFonts w:ascii="仿宋" w:hAnsi="仿宋" w:eastAsia="仿宋" w:cs="仿宋"/>
          <w:sz w:val="28"/>
          <w:szCs w:val="24"/>
        </w:rPr>
      </w:pPr>
      <w:bookmarkStart w:id="31" w:name="_Toc27526"/>
      <w:bookmarkStart w:id="32" w:name="_Toc5996"/>
      <w:bookmarkStart w:id="33" w:name="_Toc2989"/>
      <w:bookmarkStart w:id="34" w:name="_Toc27135"/>
      <w:r>
        <w:rPr>
          <w:rFonts w:hint="eastAsia" w:ascii="仿宋" w:hAnsi="仿宋" w:eastAsia="仿宋" w:cs="仿宋"/>
          <w:sz w:val="28"/>
          <w:szCs w:val="24"/>
        </w:rPr>
        <w:t>联系方式（移动电话）：</w:t>
      </w:r>
      <w:bookmarkEnd w:id="31"/>
      <w:bookmarkEnd w:id="32"/>
      <w:bookmarkEnd w:id="33"/>
      <w:bookmarkEnd w:id="34"/>
    </w:p>
    <w:p w14:paraId="43A623A5">
      <w:pPr>
        <w:jc w:val="left"/>
        <w:rPr>
          <w:rFonts w:ascii="仿宋" w:hAnsi="仿宋" w:eastAsia="仿宋" w:cs="仿宋"/>
          <w:sz w:val="28"/>
          <w:szCs w:val="24"/>
        </w:rPr>
      </w:pPr>
      <w:bookmarkStart w:id="35" w:name="_Toc19987"/>
      <w:bookmarkStart w:id="36" w:name="_Toc2031"/>
      <w:bookmarkStart w:id="37" w:name="_Toc5056"/>
      <w:bookmarkStart w:id="38" w:name="_Toc7233"/>
      <w:r>
        <w:rPr>
          <w:rFonts w:hint="eastAsia" w:ascii="仿宋" w:hAnsi="仿宋" w:eastAsia="仿宋" w:cs="仿宋"/>
          <w:sz w:val="28"/>
          <w:szCs w:val="24"/>
        </w:rPr>
        <w:t>日期：     年    月     日</w:t>
      </w:r>
      <w:bookmarkEnd w:id="35"/>
      <w:bookmarkEnd w:id="36"/>
      <w:bookmarkEnd w:id="37"/>
      <w:bookmarkEnd w:id="38"/>
    </w:p>
    <w:p w14:paraId="5C0A76E7">
      <w:pPr>
        <w:jc w:val="center"/>
        <w:rPr>
          <w:rFonts w:ascii="仿宋" w:hAnsi="仿宋" w:eastAsia="仿宋" w:cs="仿宋"/>
          <w:sz w:val="32"/>
          <w:szCs w:val="40"/>
        </w:rPr>
      </w:pPr>
      <w:bookmarkStart w:id="39" w:name="_Toc11352"/>
      <w:bookmarkStart w:id="40" w:name="_Toc21519"/>
      <w:bookmarkStart w:id="41" w:name="_Toc14829"/>
      <w:bookmarkStart w:id="42" w:name="_Toc16029"/>
      <w:bookmarkStart w:id="43" w:name="_Toc3023"/>
      <w:bookmarkStart w:id="44" w:name="_Toc6482"/>
    </w:p>
    <w:p w14:paraId="4512E9B2">
      <w:pPr>
        <w:rPr>
          <w:rStyle w:val="36"/>
          <w:rFonts w:ascii="仿宋" w:hAnsi="仿宋" w:eastAsia="仿宋" w:cs="仿宋"/>
          <w:b/>
          <w:bCs/>
          <w:sz w:val="32"/>
          <w:szCs w:val="28"/>
        </w:rPr>
      </w:pPr>
      <w:r>
        <w:rPr>
          <w:rStyle w:val="36"/>
          <w:rFonts w:hint="eastAsia" w:ascii="仿宋" w:hAnsi="仿宋" w:eastAsia="仿宋" w:cs="仿宋"/>
          <w:b/>
          <w:bCs/>
          <w:sz w:val="32"/>
          <w:szCs w:val="28"/>
        </w:rPr>
        <w:br w:type="page"/>
      </w:r>
    </w:p>
    <w:bookmarkEnd w:id="39"/>
    <w:bookmarkEnd w:id="40"/>
    <w:bookmarkEnd w:id="41"/>
    <w:bookmarkEnd w:id="42"/>
    <w:bookmarkEnd w:id="43"/>
    <w:bookmarkEnd w:id="44"/>
    <w:p w14:paraId="1B7C2E1E">
      <w:pPr>
        <w:pStyle w:val="3"/>
        <w:ind w:firstLine="0"/>
      </w:pPr>
      <w:bookmarkStart w:id="45" w:name="_Toc17857"/>
      <w:bookmarkStart w:id="46" w:name="_Toc31838"/>
      <w:bookmarkStart w:id="47" w:name="_Toc30971"/>
      <w:bookmarkStart w:id="48" w:name="_Toc4305"/>
      <w:bookmarkStart w:id="49" w:name="_Toc22676"/>
      <w:r>
        <w:rPr>
          <w:rFonts w:hint="eastAsia"/>
        </w:rPr>
        <w:t>承诺函</w:t>
      </w:r>
    </w:p>
    <w:p w14:paraId="032CC9B3">
      <w:pPr>
        <w:pStyle w:val="10"/>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10"/>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10"/>
        <w:jc w:val="left"/>
        <w:rPr>
          <w:rFonts w:ascii="仿宋" w:hAnsi="仿宋" w:eastAsia="仿宋" w:cs="仿宋"/>
          <w:sz w:val="24"/>
        </w:rPr>
      </w:pPr>
      <w:r>
        <w:rPr>
          <w:rFonts w:hint="eastAsia" w:ascii="仿宋" w:hAnsi="仿宋" w:eastAsia="仿宋" w:cs="仿宋"/>
          <w:bCs/>
          <w:sz w:val="24"/>
        </w:rPr>
        <w:t>时间：</w:t>
      </w:r>
    </w:p>
    <w:p w14:paraId="2EDFE03D">
      <w:r>
        <w:rPr>
          <w:rFonts w:hint="eastAsia"/>
        </w:rPr>
        <w:br w:type="page"/>
      </w:r>
    </w:p>
    <w:p w14:paraId="6BA346BD">
      <w:pPr>
        <w:pStyle w:val="3"/>
        <w:ind w:left="-1" w:firstLine="0"/>
      </w:pPr>
      <w:r>
        <w:rPr>
          <w:rFonts w:hint="eastAsia"/>
        </w:rPr>
        <w:t>具有独立承担民事责任的能力</w:t>
      </w:r>
      <w:bookmarkEnd w:id="45"/>
      <w:bookmarkEnd w:id="46"/>
      <w:bookmarkEnd w:id="47"/>
      <w:bookmarkEnd w:id="48"/>
      <w:bookmarkEnd w:id="49"/>
    </w:p>
    <w:p w14:paraId="074FEAEC">
      <w:pPr>
        <w:pStyle w:val="10"/>
        <w:jc w:val="center"/>
        <w:rPr>
          <w:rFonts w:ascii="仿宋" w:hAnsi="仿宋" w:eastAsia="仿宋" w:cs="仿宋"/>
          <w:b/>
          <w:bCs/>
        </w:rPr>
      </w:pPr>
    </w:p>
    <w:p w14:paraId="7A1AF603">
      <w:pPr>
        <w:jc w:val="center"/>
        <w:rPr>
          <w:rStyle w:val="36"/>
          <w:rFonts w:ascii="仿宋" w:hAnsi="仿宋" w:eastAsia="仿宋" w:cs="仿宋"/>
          <w:sz w:val="32"/>
          <w:szCs w:val="28"/>
        </w:rPr>
      </w:pPr>
      <w:r>
        <w:rPr>
          <w:rFonts w:hint="eastAsia" w:ascii="仿宋" w:hAnsi="仿宋" w:eastAsia="仿宋" w:cs="仿宋"/>
          <w:sz w:val="32"/>
          <w:szCs w:val="36"/>
        </w:rPr>
        <w:t>（按第三章要求提供）</w:t>
      </w:r>
    </w:p>
    <w:p w14:paraId="7FF5B302">
      <w:pPr>
        <w:pStyle w:val="3"/>
        <w:ind w:firstLine="0"/>
        <w:rPr>
          <w:rStyle w:val="36"/>
          <w:rFonts w:ascii="仿宋" w:hAnsi="仿宋" w:cs="仿宋"/>
          <w:szCs w:val="28"/>
        </w:rPr>
      </w:pPr>
      <w:r>
        <w:rPr>
          <w:rFonts w:hint="eastAsia" w:ascii="仿宋" w:hAnsi="仿宋" w:cs="仿宋"/>
          <w:bCs/>
        </w:rPr>
        <w:br w:type="page"/>
      </w:r>
      <w:bookmarkStart w:id="50" w:name="_Toc15613"/>
      <w:bookmarkStart w:id="51" w:name="_Toc27186"/>
      <w:bookmarkStart w:id="52" w:name="_Toc30158"/>
      <w:r>
        <w:rPr>
          <w:rFonts w:hint="eastAsia"/>
        </w:rPr>
        <w:t>具有健全的财务会计制度的证明材料</w:t>
      </w:r>
    </w:p>
    <w:p w14:paraId="506A78DE">
      <w:pPr>
        <w:jc w:val="center"/>
      </w:pPr>
      <w:r>
        <w:rPr>
          <w:rFonts w:hint="eastAsia" w:ascii="仿宋" w:hAnsi="仿宋" w:eastAsia="仿宋" w:cs="仿宋"/>
          <w:sz w:val="32"/>
          <w:szCs w:val="36"/>
        </w:rPr>
        <w:t>（提供承诺函，格式自拟）</w:t>
      </w:r>
      <w:r>
        <w:rPr>
          <w:rFonts w:hint="eastAsia"/>
        </w:rPr>
        <w:br w:type="page"/>
      </w:r>
      <w:bookmarkEnd w:id="50"/>
      <w:bookmarkEnd w:id="51"/>
      <w:bookmarkStart w:id="53" w:name="_Toc13706"/>
      <w:bookmarkStart w:id="54" w:name="_Toc13904"/>
      <w:bookmarkStart w:id="55" w:name="_Toc25357"/>
    </w:p>
    <w:p w14:paraId="17310EC5">
      <w:pPr>
        <w:pStyle w:val="3"/>
        <w:ind w:firstLine="0"/>
      </w:pPr>
      <w:bookmarkStart w:id="56" w:name="_Toc15508"/>
      <w:bookmarkStart w:id="57" w:name="_Toc23146"/>
      <w:r>
        <w:rPr>
          <w:rFonts w:hint="eastAsia"/>
        </w:rPr>
        <w:t>本项目其他资格条件提供的证明材料</w:t>
      </w:r>
      <w:bookmarkEnd w:id="52"/>
      <w:bookmarkEnd w:id="53"/>
      <w:bookmarkEnd w:id="54"/>
      <w:bookmarkEnd w:id="55"/>
      <w:bookmarkEnd w:id="56"/>
      <w:bookmarkEnd w:id="57"/>
    </w:p>
    <w:p w14:paraId="69919F45">
      <w:pPr>
        <w:pStyle w:val="10"/>
        <w:rPr>
          <w:rFonts w:ascii="仿宋" w:hAnsi="仿宋" w:eastAsia="仿宋" w:cs="仿宋"/>
        </w:rPr>
      </w:pPr>
    </w:p>
    <w:p w14:paraId="00716D70">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B340BB">
      <w:pPr>
        <w:pStyle w:val="27"/>
        <w:ind w:left="420" w:leftChars="200"/>
        <w:jc w:val="both"/>
        <w:rPr>
          <w:rFonts w:ascii="仿宋" w:hAnsi="仿宋" w:eastAsia="仿宋" w:cs="仿宋"/>
          <w:color w:val="auto"/>
        </w:rPr>
      </w:pPr>
    </w:p>
    <w:p w14:paraId="5830257C">
      <w:pPr>
        <w:pStyle w:val="27"/>
        <w:jc w:val="both"/>
        <w:rPr>
          <w:rFonts w:ascii="仿宋" w:hAnsi="仿宋" w:eastAsia="仿宋" w:cs="仿宋"/>
          <w:iCs/>
          <w:color w:val="auto"/>
        </w:rPr>
      </w:pPr>
      <w:r>
        <w:rPr>
          <w:rFonts w:hint="eastAsia" w:ascii="仿宋" w:hAnsi="仿宋" w:eastAsia="仿宋" w:cs="仿宋"/>
          <w:iCs/>
          <w:color w:val="auto"/>
        </w:rPr>
        <w:t>（若未涉及，填“无”即可）</w:t>
      </w:r>
    </w:p>
    <w:p w14:paraId="0C8A710C">
      <w:pPr>
        <w:pStyle w:val="3"/>
        <w:ind w:firstLine="0"/>
        <w:rPr>
          <w:rFonts w:ascii="仿宋" w:hAnsi="仿宋" w:cs="仿宋"/>
          <w:szCs w:val="32"/>
        </w:rPr>
      </w:pPr>
      <w:r>
        <w:rPr>
          <w:rFonts w:hint="eastAsia" w:ascii="仿宋" w:hAnsi="仿宋" w:cs="仿宋"/>
          <w:szCs w:val="32"/>
        </w:rPr>
        <w:br w:type="page"/>
      </w:r>
      <w:bookmarkStart w:id="58" w:name="_Toc27661"/>
      <w:bookmarkStart w:id="59" w:name="_Toc11351"/>
      <w:bookmarkStart w:id="60" w:name="_Toc15526"/>
      <w:bookmarkStart w:id="61" w:name="_Toc12015"/>
      <w:bookmarkStart w:id="62" w:name="_Toc25638"/>
      <w:bookmarkStart w:id="63" w:name="_Toc20589"/>
      <w:r>
        <w:rPr>
          <w:rStyle w:val="44"/>
          <w:rFonts w:hint="eastAsia"/>
          <w:b/>
        </w:rPr>
        <w:t>法定代表人身份证明书</w:t>
      </w:r>
      <w:bookmarkEnd w:id="58"/>
      <w:bookmarkEnd w:id="59"/>
      <w:bookmarkEnd w:id="60"/>
      <w:bookmarkEnd w:id="61"/>
      <w:bookmarkEnd w:id="62"/>
      <w:bookmarkEnd w:id="63"/>
    </w:p>
    <w:p w14:paraId="05D40DCC">
      <w:pPr>
        <w:pStyle w:val="27"/>
        <w:jc w:val="center"/>
        <w:rPr>
          <w:rFonts w:ascii="仿宋" w:hAnsi="仿宋" w:eastAsia="仿宋" w:cs="仿宋"/>
          <w:color w:val="auto"/>
        </w:rPr>
      </w:pPr>
    </w:p>
    <w:p w14:paraId="3B82AC88">
      <w:pPr>
        <w:pStyle w:val="27"/>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884B068">
      <w:pPr>
        <w:pStyle w:val="27"/>
        <w:jc w:val="center"/>
        <w:rPr>
          <w:rFonts w:ascii="仿宋" w:hAnsi="仿宋" w:eastAsia="仿宋" w:cs="仿宋"/>
          <w:color w:val="auto"/>
        </w:rPr>
      </w:pPr>
    </w:p>
    <w:p w14:paraId="03AFA725">
      <w:pPr>
        <w:pStyle w:val="27"/>
        <w:jc w:val="center"/>
        <w:rPr>
          <w:rFonts w:ascii="仿宋" w:hAnsi="仿宋" w:eastAsia="仿宋" w:cs="仿宋"/>
          <w:color w:val="auto"/>
        </w:rPr>
      </w:pPr>
    </w:p>
    <w:p w14:paraId="36D1FFBF">
      <w:pPr>
        <w:pStyle w:val="27"/>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5659FA2">
      <w:pPr>
        <w:pStyle w:val="27"/>
        <w:rPr>
          <w:rFonts w:ascii="仿宋" w:hAnsi="仿宋" w:eastAsia="仿宋" w:cs="仿宋"/>
          <w:color w:val="auto"/>
        </w:rPr>
      </w:pPr>
      <w:r>
        <w:rPr>
          <w:rFonts w:hint="eastAsia" w:ascii="仿宋" w:hAnsi="仿宋" w:eastAsia="仿宋" w:cs="仿宋"/>
          <w:color w:val="auto"/>
        </w:rPr>
        <w:t>特此证明。</w:t>
      </w:r>
    </w:p>
    <w:p w14:paraId="7F6D5CB9">
      <w:pPr>
        <w:pStyle w:val="27"/>
        <w:jc w:val="both"/>
        <w:rPr>
          <w:rFonts w:ascii="仿宋" w:hAnsi="仿宋" w:eastAsia="仿宋" w:cs="仿宋"/>
          <w:color w:val="auto"/>
        </w:rPr>
      </w:pPr>
    </w:p>
    <w:p w14:paraId="195A478C">
      <w:pPr>
        <w:pStyle w:val="27"/>
        <w:jc w:val="both"/>
        <w:rPr>
          <w:rFonts w:ascii="仿宋" w:hAnsi="仿宋" w:eastAsia="仿宋" w:cs="仿宋"/>
          <w:color w:val="auto"/>
        </w:rPr>
      </w:pPr>
    </w:p>
    <w:p w14:paraId="5433C7A8">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5760F30A">
      <w:pPr>
        <w:pStyle w:val="10"/>
        <w:jc w:val="left"/>
        <w:rPr>
          <w:rFonts w:ascii="仿宋" w:hAnsi="仿宋" w:eastAsia="仿宋" w:cs="仿宋"/>
          <w:sz w:val="24"/>
        </w:rPr>
      </w:pPr>
      <w:r>
        <w:rPr>
          <w:rFonts w:hint="eastAsia" w:ascii="仿宋" w:hAnsi="仿宋" w:eastAsia="仿宋" w:cs="仿宋"/>
          <w:bCs/>
          <w:sz w:val="24"/>
        </w:rPr>
        <w:t>时间：</w:t>
      </w:r>
    </w:p>
    <w:p w14:paraId="7E63ADEF">
      <w:pPr>
        <w:pStyle w:val="27"/>
        <w:jc w:val="center"/>
        <w:rPr>
          <w:rFonts w:ascii="仿宋" w:hAnsi="仿宋" w:eastAsia="仿宋" w:cs="仿宋"/>
          <w:color w:val="auto"/>
        </w:rPr>
      </w:pPr>
    </w:p>
    <w:p w14:paraId="00C39A75">
      <w:pPr>
        <w:pStyle w:val="27"/>
        <w:jc w:val="center"/>
        <w:rPr>
          <w:rFonts w:ascii="仿宋" w:hAnsi="仿宋" w:eastAsia="仿宋" w:cs="仿宋"/>
          <w:color w:val="auto"/>
        </w:rPr>
      </w:pPr>
    </w:p>
    <w:p w14:paraId="3A8F8597">
      <w:pPr>
        <w:pStyle w:val="27"/>
        <w:rPr>
          <w:rFonts w:ascii="仿宋" w:hAnsi="仿宋" w:eastAsia="仿宋" w:cs="仿宋"/>
          <w:color w:val="auto"/>
        </w:rPr>
      </w:pPr>
      <w:r>
        <w:rPr>
          <w:rFonts w:hint="eastAsia" w:ascii="仿宋" w:hAnsi="仿宋" w:eastAsia="仿宋" w:cs="仿宋"/>
          <w:color w:val="auto"/>
        </w:rPr>
        <w:t>注：</w:t>
      </w:r>
    </w:p>
    <w:p w14:paraId="4EA6D184">
      <w:pPr>
        <w:pStyle w:val="27"/>
        <w:rPr>
          <w:rFonts w:ascii="仿宋" w:hAnsi="仿宋" w:eastAsia="仿宋" w:cs="仿宋"/>
          <w:color w:val="auto"/>
        </w:rPr>
      </w:pPr>
      <w:r>
        <w:rPr>
          <w:rFonts w:hint="eastAsia" w:ascii="仿宋" w:hAnsi="仿宋" w:eastAsia="仿宋" w:cs="仿宋"/>
          <w:color w:val="auto"/>
        </w:rPr>
        <w:t>1.供应商为自然人时提供“自然人身份证明材料”。</w:t>
      </w:r>
    </w:p>
    <w:p w14:paraId="3A63548C">
      <w:pPr>
        <w:pStyle w:val="27"/>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CD5C20A">
      <w:pPr>
        <w:pStyle w:val="27"/>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189DCD0A">
      <w:pPr>
        <w:pStyle w:val="27"/>
        <w:jc w:val="both"/>
        <w:rPr>
          <w:rFonts w:ascii="仿宋" w:hAnsi="仿宋" w:eastAsia="仿宋" w:cs="仿宋"/>
          <w:color w:val="auto"/>
          <w:sz w:val="32"/>
          <w:szCs w:val="32"/>
        </w:rPr>
      </w:pPr>
    </w:p>
    <w:p w14:paraId="4F51345A">
      <w:pPr>
        <w:pStyle w:val="27"/>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6"/>
          <w:rFonts w:hint="eastAsia" w:ascii="仿宋" w:hAnsi="仿宋" w:eastAsia="仿宋" w:cs="仿宋"/>
          <w:b/>
          <w:bCs/>
          <w:color w:val="auto"/>
          <w:kern w:val="2"/>
          <w:sz w:val="32"/>
          <w:szCs w:val="28"/>
        </w:rPr>
        <w:t>法定代表人授权委托书</w:t>
      </w:r>
    </w:p>
    <w:p w14:paraId="24304F0C">
      <w:pPr>
        <w:pStyle w:val="27"/>
        <w:jc w:val="center"/>
        <w:rPr>
          <w:rFonts w:ascii="仿宋" w:hAnsi="仿宋" w:eastAsia="仿宋" w:cs="仿宋"/>
          <w:b/>
          <w:bCs/>
          <w:color w:val="auto"/>
        </w:rPr>
      </w:pPr>
    </w:p>
    <w:p w14:paraId="4E13D238">
      <w:pPr>
        <w:pStyle w:val="27"/>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268CFF57">
      <w:pPr>
        <w:pStyle w:val="27"/>
        <w:jc w:val="center"/>
        <w:rPr>
          <w:rFonts w:ascii="仿宋" w:hAnsi="仿宋" w:eastAsia="仿宋" w:cs="仿宋"/>
          <w:color w:val="auto"/>
        </w:rPr>
      </w:pPr>
    </w:p>
    <w:p w14:paraId="12388C27">
      <w:pPr>
        <w:pStyle w:val="10"/>
        <w:snapToGrid w:val="0"/>
        <w:spacing w:after="0" w:line="500" w:lineRule="exact"/>
        <w:ind w:firstLine="480" w:firstLineChars="200"/>
        <w:rPr>
          <w:rFonts w:ascii="仿宋" w:hAnsi="仿宋" w:eastAsia="仿宋" w:cs="仿宋"/>
          <w:sz w:val="24"/>
        </w:rPr>
      </w:pPr>
    </w:p>
    <w:p w14:paraId="1162A055">
      <w:pPr>
        <w:pStyle w:val="10"/>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项目的采购活动。委托代理人在采购活动和评审、磋商以及合同签订过程中所签署的一切文件和处理与之有关的一切事务，我及我公司均予以承认，并全部承担其产生的所有权利和义务。</w:t>
      </w:r>
    </w:p>
    <w:p w14:paraId="7D084A59">
      <w:pPr>
        <w:pStyle w:val="10"/>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A7207CC">
      <w:pPr>
        <w:snapToGrid w:val="0"/>
        <w:spacing w:line="560" w:lineRule="exact"/>
        <w:ind w:firstLine="480" w:firstLineChars="200"/>
        <w:rPr>
          <w:rFonts w:ascii="仿宋" w:hAnsi="仿宋" w:eastAsia="仿宋" w:cs="仿宋"/>
          <w:sz w:val="24"/>
        </w:rPr>
      </w:pPr>
    </w:p>
    <w:p w14:paraId="6E436ED4">
      <w:pPr>
        <w:snapToGrid w:val="0"/>
        <w:spacing w:line="560" w:lineRule="exact"/>
        <w:ind w:firstLine="480" w:firstLineChars="200"/>
        <w:rPr>
          <w:rFonts w:ascii="仿宋" w:hAnsi="仿宋" w:eastAsia="仿宋" w:cs="仿宋"/>
          <w:sz w:val="24"/>
        </w:rPr>
      </w:pPr>
    </w:p>
    <w:p w14:paraId="576F41A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DF3AB6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0EC2046">
      <w:pPr>
        <w:snapToGrid w:val="0"/>
        <w:spacing w:line="560" w:lineRule="exact"/>
        <w:rPr>
          <w:rFonts w:ascii="仿宋" w:hAnsi="仿宋" w:eastAsia="仿宋" w:cs="仿宋"/>
          <w:sz w:val="24"/>
        </w:rPr>
      </w:pPr>
    </w:p>
    <w:p w14:paraId="5CD7FC15">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53D0684">
      <w:pPr>
        <w:snapToGrid w:val="0"/>
        <w:spacing w:line="560" w:lineRule="exact"/>
        <w:rPr>
          <w:rFonts w:ascii="仿宋" w:hAnsi="仿宋" w:eastAsia="仿宋" w:cs="仿宋"/>
          <w:sz w:val="24"/>
        </w:rPr>
      </w:pPr>
      <w:r>
        <w:rPr>
          <w:rFonts w:hint="eastAsia" w:ascii="仿宋" w:hAnsi="仿宋" w:eastAsia="仿宋" w:cs="仿宋"/>
          <w:sz w:val="24"/>
        </w:rPr>
        <w:t>时间：</w:t>
      </w:r>
    </w:p>
    <w:p w14:paraId="52C3F7FE">
      <w:pPr>
        <w:pStyle w:val="10"/>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D247D02">
      <w:pPr>
        <w:pStyle w:val="3"/>
        <w:ind w:firstLine="0"/>
        <w:rPr>
          <w:rStyle w:val="44"/>
          <w:rFonts w:ascii="仿宋" w:hAnsi="仿宋" w:cs="仿宋"/>
          <w:b/>
          <w:szCs w:val="32"/>
        </w:rPr>
      </w:pPr>
      <w:r>
        <w:rPr>
          <w:rFonts w:hint="eastAsia" w:ascii="仿宋" w:hAnsi="仿宋" w:cs="仿宋"/>
          <w:szCs w:val="32"/>
        </w:rPr>
        <w:br w:type="page"/>
      </w:r>
      <w:bookmarkStart w:id="64" w:name="_Toc26969"/>
      <w:bookmarkStart w:id="65" w:name="_Toc1074"/>
      <w:bookmarkStart w:id="66" w:name="_Toc23967"/>
      <w:bookmarkStart w:id="67" w:name="_Toc12967"/>
      <w:bookmarkStart w:id="68" w:name="_Toc2041"/>
      <w:bookmarkStart w:id="69" w:name="_Toc16435"/>
      <w:r>
        <w:rPr>
          <w:rStyle w:val="44"/>
          <w:rFonts w:hint="eastAsia"/>
          <w:b/>
        </w:rPr>
        <w:t>采购需求偏离表</w:t>
      </w:r>
      <w:bookmarkEnd w:id="64"/>
      <w:bookmarkEnd w:id="65"/>
      <w:bookmarkEnd w:id="66"/>
      <w:bookmarkEnd w:id="67"/>
      <w:bookmarkEnd w:id="68"/>
      <w:bookmarkEnd w:id="69"/>
    </w:p>
    <w:p w14:paraId="4486095D">
      <w:pPr>
        <w:pStyle w:val="3"/>
        <w:numPr>
          <w:ilvl w:val="0"/>
          <w:numId w:val="0"/>
        </w:numPr>
        <w:ind w:firstLine="3534" w:firstLineChars="1100"/>
        <w:jc w:val="both"/>
        <w:rPr>
          <w:rFonts w:ascii="仿宋" w:hAnsi="仿宋" w:cs="仿宋"/>
          <w:szCs w:val="32"/>
        </w:rPr>
      </w:pPr>
      <w:r>
        <w:rPr>
          <w:rStyle w:val="44"/>
          <w:rFonts w:hint="eastAsia"/>
          <w:b/>
        </w:rPr>
        <w:t>1、技术或服务要求偏离表</w:t>
      </w:r>
    </w:p>
    <w:p w14:paraId="37BA59D9">
      <w:pPr>
        <w:pStyle w:val="10"/>
        <w:spacing w:line="300" w:lineRule="atLeast"/>
        <w:rPr>
          <w:rFonts w:ascii="仿宋" w:hAnsi="仿宋" w:eastAsia="仿宋" w:cs="仿宋"/>
          <w:kern w:val="0"/>
          <w:sz w:val="24"/>
          <w:lang w:val="zh-TW" w:eastAsia="zh-TW"/>
        </w:rPr>
      </w:pPr>
    </w:p>
    <w:tbl>
      <w:tblPr>
        <w:tblStyle w:val="22"/>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96C47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BBCE79">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6D7DDC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1377F">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21792">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179D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C43DD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CF57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75591E">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E605AD">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A0F822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65A293">
            <w:pPr>
              <w:rPr>
                <w:rFonts w:ascii="仿宋" w:hAnsi="仿宋" w:eastAsia="仿宋" w:cs="仿宋"/>
                <w:sz w:val="24"/>
              </w:rPr>
            </w:pPr>
          </w:p>
        </w:tc>
      </w:tr>
      <w:tr w14:paraId="519D5D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6BAE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566A99">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82E63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A04C4A5">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9ECD9A0">
            <w:pPr>
              <w:rPr>
                <w:rFonts w:ascii="仿宋" w:hAnsi="仿宋" w:eastAsia="仿宋" w:cs="仿宋"/>
                <w:sz w:val="24"/>
              </w:rPr>
            </w:pPr>
          </w:p>
        </w:tc>
      </w:tr>
      <w:tr w14:paraId="3C4B56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F936E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5E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5E6FFC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8A793">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1AED82">
            <w:pPr>
              <w:rPr>
                <w:rFonts w:ascii="仿宋" w:hAnsi="仿宋" w:eastAsia="仿宋" w:cs="仿宋"/>
                <w:sz w:val="24"/>
              </w:rPr>
            </w:pPr>
          </w:p>
        </w:tc>
      </w:tr>
    </w:tbl>
    <w:p w14:paraId="651BF143">
      <w:pPr>
        <w:spacing w:line="360" w:lineRule="auto"/>
        <w:jc w:val="left"/>
        <w:rPr>
          <w:rFonts w:ascii="仿宋" w:hAnsi="仿宋" w:eastAsia="仿宋" w:cs="仿宋"/>
          <w:bCs/>
          <w:sz w:val="24"/>
        </w:rPr>
      </w:pPr>
    </w:p>
    <w:p w14:paraId="2ACBCE7A">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1.供应商必须按采购需求的内容据实填写，不得虚假响应，否则将取消其磋商或成交资格并按规定追究其相关责任。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B40BDA9">
      <w:pPr>
        <w:pStyle w:val="20"/>
        <w:ind w:firstLine="0"/>
        <w:rPr>
          <w:rFonts w:ascii="仿宋" w:hAnsi="仿宋" w:eastAsia="仿宋" w:cs="仿宋"/>
          <w:lang w:val="zh-TW" w:eastAsia="zh-TW"/>
        </w:rPr>
      </w:pPr>
    </w:p>
    <w:p w14:paraId="72E9B9D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D833784">
      <w:pPr>
        <w:snapToGrid w:val="0"/>
        <w:spacing w:line="560" w:lineRule="exact"/>
        <w:rPr>
          <w:rFonts w:ascii="仿宋" w:hAnsi="仿宋" w:eastAsia="仿宋" w:cs="仿宋"/>
          <w:sz w:val="24"/>
        </w:rPr>
      </w:pPr>
      <w:r>
        <w:rPr>
          <w:rFonts w:hint="eastAsia" w:ascii="仿宋" w:hAnsi="仿宋" w:eastAsia="仿宋" w:cs="仿宋"/>
          <w:sz w:val="24"/>
        </w:rPr>
        <w:t>时间：</w:t>
      </w:r>
    </w:p>
    <w:p w14:paraId="497943B8">
      <w:pPr>
        <w:pStyle w:val="27"/>
        <w:jc w:val="center"/>
        <w:rPr>
          <w:rFonts w:ascii="仿宋" w:hAnsi="仿宋" w:eastAsia="仿宋" w:cs="仿宋"/>
          <w:color w:val="auto"/>
          <w:sz w:val="32"/>
          <w:szCs w:val="32"/>
        </w:rPr>
      </w:pPr>
    </w:p>
    <w:p w14:paraId="78FA94AA">
      <w:pPr>
        <w:pStyle w:val="3"/>
        <w:numPr>
          <w:ilvl w:val="0"/>
          <w:numId w:val="0"/>
        </w:numPr>
        <w:ind w:firstLine="3534" w:firstLineChars="1100"/>
        <w:jc w:val="both"/>
        <w:rPr>
          <w:rStyle w:val="44"/>
          <w:b/>
        </w:rPr>
      </w:pPr>
    </w:p>
    <w:p w14:paraId="538B348C">
      <w:pPr>
        <w:pStyle w:val="3"/>
        <w:numPr>
          <w:ilvl w:val="0"/>
          <w:numId w:val="0"/>
        </w:numPr>
        <w:ind w:firstLine="3534" w:firstLineChars="1100"/>
        <w:jc w:val="both"/>
        <w:rPr>
          <w:rStyle w:val="44"/>
          <w:b/>
        </w:rPr>
      </w:pPr>
    </w:p>
    <w:p w14:paraId="1D350067">
      <w:pPr>
        <w:pStyle w:val="3"/>
        <w:numPr>
          <w:ilvl w:val="0"/>
          <w:numId w:val="0"/>
        </w:numPr>
        <w:ind w:firstLine="3534" w:firstLineChars="1100"/>
        <w:jc w:val="both"/>
        <w:rPr>
          <w:rStyle w:val="44"/>
          <w:b/>
        </w:rPr>
      </w:pPr>
    </w:p>
    <w:p w14:paraId="3DA804A1">
      <w:pPr>
        <w:pStyle w:val="3"/>
        <w:numPr>
          <w:ilvl w:val="0"/>
          <w:numId w:val="0"/>
        </w:numPr>
        <w:ind w:firstLine="3534" w:firstLineChars="1100"/>
        <w:jc w:val="both"/>
        <w:rPr>
          <w:rStyle w:val="44"/>
          <w:b/>
        </w:rPr>
      </w:pPr>
    </w:p>
    <w:p w14:paraId="0131036C">
      <w:pPr>
        <w:pStyle w:val="3"/>
        <w:numPr>
          <w:ilvl w:val="0"/>
          <w:numId w:val="0"/>
        </w:numPr>
        <w:ind w:firstLine="3534" w:firstLineChars="1100"/>
        <w:jc w:val="both"/>
        <w:rPr>
          <w:rStyle w:val="44"/>
          <w:b/>
        </w:rPr>
      </w:pPr>
    </w:p>
    <w:p w14:paraId="0F3815F8">
      <w:pPr>
        <w:pStyle w:val="3"/>
        <w:numPr>
          <w:ilvl w:val="0"/>
          <w:numId w:val="0"/>
        </w:numPr>
        <w:ind w:firstLine="3534" w:firstLineChars="1100"/>
        <w:jc w:val="both"/>
        <w:rPr>
          <w:rStyle w:val="44"/>
          <w:b/>
        </w:rPr>
      </w:pPr>
    </w:p>
    <w:p w14:paraId="0AC23294">
      <w:pPr>
        <w:pStyle w:val="3"/>
        <w:numPr>
          <w:ilvl w:val="0"/>
          <w:numId w:val="0"/>
        </w:numPr>
        <w:ind w:firstLine="3534" w:firstLineChars="1100"/>
        <w:jc w:val="both"/>
        <w:rPr>
          <w:rStyle w:val="44"/>
          <w:b/>
        </w:rPr>
      </w:pPr>
    </w:p>
    <w:p w14:paraId="317D2E89">
      <w:pPr>
        <w:pStyle w:val="3"/>
        <w:numPr>
          <w:ilvl w:val="0"/>
          <w:numId w:val="0"/>
        </w:numPr>
        <w:ind w:firstLine="3534" w:firstLineChars="1100"/>
        <w:jc w:val="both"/>
        <w:rPr>
          <w:rStyle w:val="44"/>
          <w:b/>
        </w:rPr>
      </w:pPr>
    </w:p>
    <w:p w14:paraId="41DF1E15">
      <w:pPr>
        <w:pStyle w:val="3"/>
        <w:numPr>
          <w:ilvl w:val="0"/>
          <w:numId w:val="0"/>
        </w:numPr>
        <w:ind w:firstLine="3534" w:firstLineChars="1100"/>
        <w:jc w:val="both"/>
        <w:rPr>
          <w:rFonts w:ascii="仿宋" w:hAnsi="仿宋" w:cs="仿宋"/>
          <w:szCs w:val="32"/>
        </w:rPr>
      </w:pPr>
      <w:r>
        <w:rPr>
          <w:rStyle w:val="44"/>
          <w:rFonts w:hint="eastAsia"/>
          <w:b/>
        </w:rPr>
        <w:t>2、商务要求偏离表</w:t>
      </w:r>
    </w:p>
    <w:p w14:paraId="0C56E64E">
      <w:pPr>
        <w:pStyle w:val="10"/>
        <w:spacing w:line="300" w:lineRule="atLeast"/>
        <w:rPr>
          <w:rFonts w:ascii="仿宋" w:hAnsi="仿宋" w:eastAsia="仿宋" w:cs="仿宋"/>
          <w:kern w:val="0"/>
          <w:sz w:val="24"/>
          <w:lang w:val="zh-TW" w:eastAsia="zh-TW"/>
        </w:rPr>
      </w:pPr>
    </w:p>
    <w:tbl>
      <w:tblPr>
        <w:tblStyle w:val="22"/>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204C3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EBA9BEE">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082150">
            <w:pPr>
              <w:widowControl/>
              <w:jc w:val="center"/>
              <w:rPr>
                <w:rFonts w:ascii="仿宋" w:hAnsi="仿宋" w:eastAsia="仿宋" w:cs="仿宋"/>
                <w:b/>
                <w:sz w:val="24"/>
              </w:rPr>
            </w:pPr>
            <w:r>
              <w:rPr>
                <w:rFonts w:hint="eastAsia" w:ascii="仿宋" w:hAnsi="仿宋" w:eastAsia="仿宋" w:cs="仿宋"/>
                <w:b/>
                <w:kern w:val="0"/>
                <w:sz w:val="24"/>
                <w:lang w:val="zh-TW"/>
              </w:rPr>
              <w:t>磋商文件商务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BC27D">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9FBE69">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0DD6C4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8F004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B1B686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A39D8">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D7AAAD8">
            <w:pPr>
              <w:jc w:val="center"/>
              <w:rPr>
                <w:rFonts w:ascii="仿宋" w:hAnsi="仿宋" w:eastAsia="仿宋" w:cs="仿宋"/>
                <w:sz w:val="24"/>
              </w:rPr>
            </w:pPr>
          </w:p>
        </w:tc>
      </w:tr>
      <w:tr w14:paraId="35A099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54F1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BB77D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07E07B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B64635">
            <w:pPr>
              <w:jc w:val="center"/>
              <w:rPr>
                <w:rFonts w:ascii="仿宋" w:hAnsi="仿宋" w:eastAsia="仿宋" w:cs="仿宋"/>
                <w:sz w:val="24"/>
              </w:rPr>
            </w:pPr>
          </w:p>
        </w:tc>
      </w:tr>
      <w:tr w14:paraId="756578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CBFDE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1C16A">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5124A5B">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0C0E4A4">
            <w:pPr>
              <w:jc w:val="center"/>
              <w:rPr>
                <w:rFonts w:ascii="仿宋" w:hAnsi="仿宋" w:eastAsia="仿宋" w:cs="仿宋"/>
                <w:sz w:val="24"/>
              </w:rPr>
            </w:pPr>
          </w:p>
        </w:tc>
      </w:tr>
    </w:tbl>
    <w:p w14:paraId="50A2D0DF">
      <w:pPr>
        <w:spacing w:line="360" w:lineRule="auto"/>
        <w:jc w:val="left"/>
        <w:rPr>
          <w:rFonts w:ascii="仿宋" w:hAnsi="仿宋" w:eastAsia="仿宋" w:cs="仿宋"/>
          <w:bCs/>
          <w:sz w:val="24"/>
        </w:rPr>
      </w:pPr>
    </w:p>
    <w:p w14:paraId="22AD4C7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1.供应商必须按商务要求的内容据实填写，不得虚假响应，否则将取消其磋商或成交资格并按规定追究其相关责任。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39FEEAA">
      <w:pPr>
        <w:pStyle w:val="20"/>
        <w:ind w:firstLine="0"/>
        <w:rPr>
          <w:rFonts w:ascii="仿宋" w:hAnsi="仿宋" w:eastAsia="仿宋" w:cs="仿宋"/>
          <w:lang w:val="zh-TW" w:eastAsia="zh-TW"/>
        </w:rPr>
      </w:pPr>
    </w:p>
    <w:p w14:paraId="5AD3D8E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E5CD01A">
      <w:pPr>
        <w:snapToGrid w:val="0"/>
        <w:spacing w:line="560" w:lineRule="exact"/>
        <w:rPr>
          <w:rFonts w:ascii="仿宋" w:hAnsi="仿宋" w:eastAsia="仿宋" w:cs="仿宋"/>
          <w:sz w:val="24"/>
        </w:rPr>
      </w:pPr>
      <w:r>
        <w:rPr>
          <w:rFonts w:hint="eastAsia" w:ascii="仿宋" w:hAnsi="仿宋" w:eastAsia="仿宋" w:cs="仿宋"/>
          <w:sz w:val="24"/>
        </w:rPr>
        <w:t>时间：</w:t>
      </w:r>
    </w:p>
    <w:p w14:paraId="19EC5E18">
      <w:pPr>
        <w:pStyle w:val="27"/>
        <w:jc w:val="center"/>
        <w:rPr>
          <w:rFonts w:ascii="仿宋" w:hAnsi="仿宋" w:eastAsia="仿宋" w:cs="仿宋"/>
          <w:color w:val="auto"/>
          <w:sz w:val="32"/>
          <w:szCs w:val="32"/>
        </w:rPr>
      </w:pPr>
    </w:p>
    <w:p w14:paraId="4A2C47A1">
      <w:pPr>
        <w:pStyle w:val="27"/>
        <w:jc w:val="center"/>
        <w:rPr>
          <w:rFonts w:ascii="仿宋" w:hAnsi="仿宋" w:eastAsia="仿宋" w:cs="仿宋"/>
          <w:color w:val="auto"/>
          <w:sz w:val="32"/>
          <w:szCs w:val="32"/>
        </w:rPr>
      </w:pPr>
      <w:r>
        <w:rPr>
          <w:rFonts w:hint="eastAsia" w:ascii="仿宋" w:hAnsi="仿宋" w:cs="仿宋"/>
          <w:szCs w:val="32"/>
        </w:rPr>
        <w:br w:type="page"/>
      </w:r>
    </w:p>
    <w:p w14:paraId="655B6C37">
      <w:pPr>
        <w:pStyle w:val="3"/>
        <w:numPr>
          <w:ilvl w:val="0"/>
          <w:numId w:val="0"/>
        </w:numPr>
        <w:jc w:val="both"/>
        <w:rPr>
          <w:rFonts w:ascii="仿宋" w:hAnsi="仿宋" w:cs="仿宋"/>
          <w:bCs/>
          <w:szCs w:val="32"/>
        </w:rPr>
      </w:pPr>
      <w:bookmarkStart w:id="70" w:name="_Toc31686"/>
      <w:bookmarkStart w:id="71" w:name="_Toc28634"/>
      <w:bookmarkStart w:id="72" w:name="_Toc26839"/>
      <w:bookmarkStart w:id="73" w:name="_Toc1369"/>
      <w:bookmarkStart w:id="74" w:name="_Toc24806"/>
      <w:bookmarkStart w:id="75" w:name="_Toc21082"/>
      <w:r>
        <w:rPr>
          <w:rFonts w:hint="eastAsia" w:ascii="仿宋" w:hAnsi="仿宋" w:cs="仿宋"/>
          <w:szCs w:val="32"/>
        </w:rPr>
        <w:t>七、</w:t>
      </w:r>
      <w:r>
        <w:rPr>
          <w:rStyle w:val="44"/>
          <w:rFonts w:hint="eastAsia"/>
          <w:b/>
        </w:rPr>
        <w:t>评分需要提供的证明材料</w:t>
      </w:r>
      <w:bookmarkEnd w:id="70"/>
      <w:bookmarkEnd w:id="71"/>
      <w:bookmarkEnd w:id="72"/>
      <w:bookmarkEnd w:id="73"/>
      <w:bookmarkEnd w:id="74"/>
      <w:bookmarkEnd w:id="75"/>
    </w:p>
    <w:p w14:paraId="3A6C57E4">
      <w:pPr>
        <w:pStyle w:val="27"/>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0C031DF1">
      <w:pPr>
        <w:pStyle w:val="27"/>
        <w:jc w:val="center"/>
        <w:rPr>
          <w:rFonts w:ascii="仿宋" w:hAnsi="仿宋" w:eastAsia="仿宋" w:cs="仿宋"/>
          <w:b/>
          <w:bCs/>
          <w:color w:val="auto"/>
        </w:rPr>
      </w:pPr>
    </w:p>
    <w:p w14:paraId="7D97F3A2">
      <w:pPr>
        <w:rPr>
          <w:rFonts w:ascii="仿宋" w:hAnsi="仿宋" w:eastAsia="仿宋" w:cs="仿宋"/>
          <w:sz w:val="24"/>
          <w:szCs w:val="24"/>
        </w:rPr>
      </w:pPr>
      <w:r>
        <w:rPr>
          <w:rFonts w:hint="eastAsia" w:ascii="仿宋" w:hAnsi="仿宋" w:eastAsia="仿宋" w:cs="仿宋"/>
          <w:sz w:val="24"/>
          <w:szCs w:val="24"/>
        </w:rPr>
        <w:t>（一）暂用评审因素一代替：</w:t>
      </w:r>
    </w:p>
    <w:p w14:paraId="1CF94F0E">
      <w:pPr>
        <w:rPr>
          <w:rFonts w:ascii="仿宋" w:hAnsi="仿宋" w:eastAsia="仿宋" w:cs="仿宋"/>
          <w:sz w:val="24"/>
          <w:szCs w:val="24"/>
        </w:rPr>
      </w:pPr>
      <w:r>
        <w:rPr>
          <w:rFonts w:hint="eastAsia" w:ascii="仿宋" w:hAnsi="仿宋" w:eastAsia="仿宋" w:cs="仿宋"/>
          <w:sz w:val="24"/>
          <w:szCs w:val="24"/>
        </w:rPr>
        <w:t>(......)</w:t>
      </w:r>
    </w:p>
    <w:p w14:paraId="1411875A">
      <w:pPr>
        <w:rPr>
          <w:rFonts w:ascii="仿宋" w:hAnsi="仿宋" w:eastAsia="仿宋" w:cs="仿宋"/>
          <w:sz w:val="24"/>
          <w:szCs w:val="24"/>
        </w:rPr>
      </w:pPr>
    </w:p>
    <w:p w14:paraId="727CEB77">
      <w:pPr>
        <w:rPr>
          <w:rFonts w:ascii="仿宋" w:hAnsi="仿宋" w:eastAsia="仿宋" w:cs="仿宋"/>
          <w:sz w:val="24"/>
          <w:szCs w:val="24"/>
        </w:rPr>
      </w:pPr>
      <w:r>
        <w:rPr>
          <w:rFonts w:hint="eastAsia" w:ascii="仿宋" w:hAnsi="仿宋" w:eastAsia="仿宋" w:cs="仿宋"/>
          <w:sz w:val="24"/>
          <w:szCs w:val="24"/>
        </w:rPr>
        <w:t>（二）暂用评审因素二代替：</w:t>
      </w:r>
    </w:p>
    <w:p w14:paraId="674CA65B">
      <w:pPr>
        <w:rPr>
          <w:rFonts w:ascii="仿宋" w:hAnsi="仿宋" w:eastAsia="仿宋" w:cs="仿宋"/>
          <w:sz w:val="24"/>
          <w:szCs w:val="24"/>
        </w:rPr>
      </w:pPr>
      <w:r>
        <w:rPr>
          <w:rFonts w:hint="eastAsia" w:ascii="仿宋" w:hAnsi="仿宋" w:eastAsia="仿宋" w:cs="仿宋"/>
          <w:sz w:val="24"/>
          <w:szCs w:val="24"/>
        </w:rPr>
        <w:t>(......)</w:t>
      </w:r>
    </w:p>
    <w:p w14:paraId="1C9F0449">
      <w:pPr>
        <w:rPr>
          <w:rFonts w:ascii="仿宋" w:hAnsi="仿宋" w:eastAsia="仿宋" w:cs="仿宋"/>
          <w:sz w:val="24"/>
          <w:szCs w:val="24"/>
        </w:rPr>
      </w:pPr>
    </w:p>
    <w:p w14:paraId="5008AA22">
      <w:pPr>
        <w:rPr>
          <w:rFonts w:ascii="仿宋" w:hAnsi="仿宋" w:eastAsia="仿宋" w:cs="仿宋"/>
          <w:sz w:val="24"/>
          <w:szCs w:val="24"/>
        </w:rPr>
      </w:pPr>
      <w:r>
        <w:rPr>
          <w:rFonts w:hint="eastAsia" w:ascii="仿宋" w:hAnsi="仿宋" w:eastAsia="仿宋" w:cs="仿宋"/>
          <w:sz w:val="24"/>
          <w:szCs w:val="24"/>
        </w:rPr>
        <w:t>（三）暂用评审因素三代替：</w:t>
      </w:r>
    </w:p>
    <w:p w14:paraId="5702433C">
      <w:pPr>
        <w:rPr>
          <w:rFonts w:ascii="仿宋" w:hAnsi="仿宋" w:eastAsia="仿宋" w:cs="仿宋"/>
          <w:sz w:val="24"/>
          <w:szCs w:val="24"/>
        </w:rPr>
      </w:pPr>
      <w:r>
        <w:rPr>
          <w:rFonts w:hint="eastAsia" w:ascii="仿宋" w:hAnsi="仿宋" w:eastAsia="仿宋" w:cs="仿宋"/>
          <w:sz w:val="24"/>
          <w:szCs w:val="24"/>
        </w:rPr>
        <w:t>(......)</w:t>
      </w:r>
    </w:p>
    <w:p w14:paraId="694235C2">
      <w:pPr>
        <w:spacing w:line="700" w:lineRule="exact"/>
        <w:jc w:val="center"/>
        <w:rPr>
          <w:rStyle w:val="36"/>
          <w:rFonts w:ascii="仿宋" w:hAnsi="仿宋" w:eastAsia="仿宋" w:cs="仿宋"/>
          <w:sz w:val="32"/>
          <w:szCs w:val="28"/>
        </w:rPr>
      </w:pPr>
      <w:r>
        <w:rPr>
          <w:rFonts w:hint="eastAsia" w:ascii="仿宋" w:hAnsi="仿宋" w:eastAsia="仿宋" w:cs="仿宋"/>
          <w:b/>
          <w:bCs/>
          <w:sz w:val="32"/>
          <w:szCs w:val="32"/>
        </w:rPr>
        <w:br w:type="page"/>
      </w:r>
      <w:bookmarkStart w:id="76" w:name="_Toc32605"/>
      <w:bookmarkStart w:id="77" w:name="_Toc3871"/>
      <w:bookmarkStart w:id="78" w:name="_Toc24494"/>
    </w:p>
    <w:p w14:paraId="26149625">
      <w:pPr>
        <w:pStyle w:val="3"/>
        <w:numPr>
          <w:ilvl w:val="1"/>
          <w:numId w:val="9"/>
        </w:numPr>
        <w:jc w:val="both"/>
      </w:pPr>
      <w:bookmarkStart w:id="79" w:name="_Toc29032"/>
      <w:bookmarkStart w:id="80" w:name="_Toc30002"/>
      <w:bookmarkStart w:id="81" w:name="_Toc14685"/>
      <w:r>
        <w:rPr>
          <w:rFonts w:hint="eastAsia"/>
        </w:rPr>
        <w:t>报价单</w:t>
      </w:r>
    </w:p>
    <w:p w14:paraId="37B9C057">
      <w:pPr>
        <w:ind w:firstLine="660"/>
        <w:rPr>
          <w:rFonts w:ascii="仿宋" w:hAnsi="仿宋" w:eastAsia="仿宋" w:cs="仿宋"/>
          <w:sz w:val="24"/>
          <w:szCs w:val="24"/>
          <w:lang w:val="zh-TW" w:eastAsia="zh-TW"/>
        </w:rPr>
      </w:pPr>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9E46B10">
      <w:pPr>
        <w:pStyle w:val="10"/>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ABD95E5">
      <w:pPr>
        <w:pStyle w:val="10"/>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508534DE">
      <w:pPr>
        <w:pStyle w:val="10"/>
        <w:rPr>
          <w:rFonts w:hint="eastAsia" w:ascii="仿宋" w:hAnsi="仿宋" w:eastAsia="仿宋" w:cs="仿宋"/>
          <w:b/>
          <w:bCs/>
        </w:rPr>
      </w:pPr>
      <w:r>
        <w:rPr>
          <w:rFonts w:hint="eastAsia" w:ascii="仿宋" w:hAnsi="仿宋" w:eastAsia="仿宋" w:cs="仿宋"/>
          <w:b/>
          <w:bCs/>
        </w:rPr>
        <w:t>2.报价一览表</w:t>
      </w:r>
    </w:p>
    <w:tbl>
      <w:tblPr>
        <w:tblStyle w:val="22"/>
        <w:tblW w:w="9849" w:type="dxa"/>
        <w:tblInd w:w="0" w:type="dxa"/>
        <w:tblLayout w:type="autofit"/>
        <w:tblCellMar>
          <w:top w:w="0" w:type="dxa"/>
          <w:left w:w="108" w:type="dxa"/>
          <w:bottom w:w="0" w:type="dxa"/>
          <w:right w:w="108" w:type="dxa"/>
        </w:tblCellMar>
      </w:tblPr>
      <w:tblGrid>
        <w:gridCol w:w="2493"/>
        <w:gridCol w:w="1122"/>
        <w:gridCol w:w="1439"/>
        <w:gridCol w:w="1475"/>
        <w:gridCol w:w="1695"/>
        <w:gridCol w:w="1625"/>
      </w:tblGrid>
      <w:tr w14:paraId="74B22E2D">
        <w:tblPrEx>
          <w:tblCellMar>
            <w:top w:w="0" w:type="dxa"/>
            <w:left w:w="108" w:type="dxa"/>
            <w:bottom w:w="0" w:type="dxa"/>
            <w:right w:w="108" w:type="dxa"/>
          </w:tblCellMar>
        </w:tblPrEx>
        <w:trPr>
          <w:trHeight w:val="584" w:hRule="atLeast"/>
        </w:trPr>
        <w:tc>
          <w:tcPr>
            <w:tcW w:w="2493" w:type="dxa"/>
            <w:tcBorders>
              <w:top w:val="single" w:color="auto" w:sz="4" w:space="0"/>
              <w:left w:val="single" w:color="auto" w:sz="4" w:space="0"/>
              <w:bottom w:val="single" w:color="auto" w:sz="4" w:space="0"/>
              <w:right w:val="single" w:color="auto" w:sz="4" w:space="0"/>
            </w:tcBorders>
            <w:shd w:val="clear" w:color="auto" w:fill="auto"/>
            <w:vAlign w:val="center"/>
          </w:tcPr>
          <w:p w14:paraId="6F7CF057">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检测具体项目</w:t>
            </w:r>
          </w:p>
        </w:tc>
        <w:tc>
          <w:tcPr>
            <w:tcW w:w="1122" w:type="dxa"/>
            <w:tcBorders>
              <w:top w:val="single" w:color="auto" w:sz="4" w:space="0"/>
              <w:left w:val="nil"/>
              <w:bottom w:val="single" w:color="auto" w:sz="4" w:space="0"/>
              <w:right w:val="single" w:color="auto" w:sz="4" w:space="0"/>
            </w:tcBorders>
            <w:shd w:val="clear" w:color="auto" w:fill="auto"/>
            <w:vAlign w:val="center"/>
          </w:tcPr>
          <w:p w14:paraId="6C21C91A">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检测次数</w:t>
            </w:r>
          </w:p>
        </w:tc>
        <w:tc>
          <w:tcPr>
            <w:tcW w:w="2914" w:type="dxa"/>
            <w:gridSpan w:val="2"/>
            <w:tcBorders>
              <w:top w:val="single" w:color="auto" w:sz="4" w:space="0"/>
              <w:left w:val="nil"/>
              <w:bottom w:val="single" w:color="auto" w:sz="4" w:space="0"/>
              <w:right w:val="single" w:color="auto" w:sz="4" w:space="0"/>
            </w:tcBorders>
            <w:shd w:val="clear" w:color="auto" w:fill="auto"/>
            <w:vAlign w:val="center"/>
          </w:tcPr>
          <w:p w14:paraId="7FD02B98">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单价（元/次）</w:t>
            </w:r>
          </w:p>
        </w:tc>
        <w:tc>
          <w:tcPr>
            <w:tcW w:w="1695" w:type="dxa"/>
            <w:tcBorders>
              <w:top w:val="single" w:color="auto" w:sz="4" w:space="0"/>
              <w:left w:val="nil"/>
              <w:bottom w:val="single" w:color="auto" w:sz="4" w:space="0"/>
              <w:right w:val="single" w:color="auto" w:sz="4" w:space="0"/>
            </w:tcBorders>
            <w:shd w:val="clear" w:color="auto" w:fill="auto"/>
            <w:vAlign w:val="center"/>
          </w:tcPr>
          <w:p w14:paraId="5C9DD574">
            <w:pPr>
              <w:widowControl/>
              <w:jc w:val="center"/>
              <w:rPr>
                <w:rFonts w:hint="default" w:ascii="仿宋_GB2312" w:hAnsi="微软雅黑" w:eastAsiaTheme="minorEastAsia" w:cstheme="minorBidi"/>
                <w:color w:val="000000" w:themeColor="text1"/>
                <w:spacing w:val="2"/>
                <w:kern w:val="2"/>
                <w:sz w:val="21"/>
                <w:szCs w:val="26"/>
                <w:shd w:val="clear" w:color="auto" w:fill="FFFFFF"/>
                <w:lang w:val="en-US"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报价单价（元/次）</w:t>
            </w:r>
          </w:p>
        </w:tc>
        <w:tc>
          <w:tcPr>
            <w:tcW w:w="1625" w:type="dxa"/>
            <w:tcBorders>
              <w:top w:val="single" w:color="auto" w:sz="4" w:space="0"/>
              <w:left w:val="nil"/>
              <w:bottom w:val="single" w:color="auto" w:sz="4" w:space="0"/>
              <w:right w:val="single" w:color="auto" w:sz="4" w:space="0"/>
            </w:tcBorders>
            <w:shd w:val="clear" w:color="auto" w:fill="auto"/>
            <w:vAlign w:val="center"/>
          </w:tcPr>
          <w:p w14:paraId="1A38C831">
            <w:pPr>
              <w:widowControl/>
              <w:tabs>
                <w:tab w:val="left" w:pos="514"/>
              </w:tabs>
              <w:jc w:val="left"/>
              <w:rPr>
                <w:rFonts w:hint="default" w:ascii="仿宋_GB2312" w:hAnsi="微软雅黑" w:eastAsiaTheme="minorEastAsia" w:cstheme="minorBidi"/>
                <w:color w:val="000000" w:themeColor="text1"/>
                <w:spacing w:val="2"/>
                <w:kern w:val="2"/>
                <w:sz w:val="21"/>
                <w:szCs w:val="26"/>
                <w:shd w:val="clear" w:color="auto" w:fill="FFFFFF"/>
                <w:lang w:val="en-US"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报价合计（元）</w:t>
            </w:r>
          </w:p>
        </w:tc>
      </w:tr>
      <w:tr w14:paraId="7492721D">
        <w:tblPrEx>
          <w:tblCellMar>
            <w:top w:w="0" w:type="dxa"/>
            <w:left w:w="108" w:type="dxa"/>
            <w:bottom w:w="0" w:type="dxa"/>
            <w:right w:w="108" w:type="dxa"/>
          </w:tblCellMar>
        </w:tblPrEx>
        <w:trPr>
          <w:trHeight w:val="569" w:hRule="atLeast"/>
        </w:trPr>
        <w:tc>
          <w:tcPr>
            <w:tcW w:w="2493" w:type="dxa"/>
            <w:vMerge w:val="restart"/>
            <w:tcBorders>
              <w:top w:val="nil"/>
              <w:left w:val="single" w:color="auto" w:sz="4" w:space="0"/>
              <w:bottom w:val="single" w:color="auto" w:sz="4" w:space="0"/>
              <w:right w:val="single" w:color="auto" w:sz="4" w:space="0"/>
            </w:tcBorders>
            <w:shd w:val="clear" w:color="auto" w:fill="auto"/>
            <w:vAlign w:val="center"/>
          </w:tcPr>
          <w:p w14:paraId="6920C45E">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1.</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温度                  </w:t>
            </w:r>
          </w:p>
          <w:p w14:paraId="03AED784">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2.</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湿度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3.</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压差(静压差)          </w:t>
            </w:r>
          </w:p>
          <w:p w14:paraId="6B9DFED6">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4.</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噪声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5.</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新风量                </w:t>
            </w:r>
          </w:p>
          <w:p w14:paraId="104267D6">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6.</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换气次数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7.</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最低照度              </w:t>
            </w:r>
          </w:p>
          <w:p w14:paraId="3037A9C1">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8.</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洁净度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9.</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风速                  </w:t>
            </w:r>
          </w:p>
          <w:p w14:paraId="3E2BCB8D">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10.</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细菌总数</w:t>
            </w:r>
          </w:p>
        </w:tc>
        <w:tc>
          <w:tcPr>
            <w:tcW w:w="1122" w:type="dxa"/>
            <w:tcBorders>
              <w:top w:val="nil"/>
              <w:left w:val="nil"/>
              <w:bottom w:val="single" w:color="auto" w:sz="4" w:space="0"/>
              <w:right w:val="single" w:color="auto" w:sz="4" w:space="0"/>
            </w:tcBorders>
            <w:shd w:val="clear" w:color="auto" w:fill="auto"/>
            <w:vAlign w:val="center"/>
          </w:tcPr>
          <w:p w14:paraId="2BEAF477">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10次</w:t>
            </w:r>
          </w:p>
        </w:tc>
        <w:tc>
          <w:tcPr>
            <w:tcW w:w="1439" w:type="dxa"/>
            <w:tcBorders>
              <w:top w:val="nil"/>
              <w:left w:val="nil"/>
              <w:bottom w:val="single" w:color="auto" w:sz="4" w:space="0"/>
              <w:right w:val="single" w:color="auto" w:sz="4" w:space="0"/>
            </w:tcBorders>
            <w:shd w:val="clear" w:color="auto" w:fill="auto"/>
            <w:vAlign w:val="center"/>
          </w:tcPr>
          <w:p w14:paraId="487B0E90">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洁净百级</w:t>
            </w:r>
          </w:p>
        </w:tc>
        <w:tc>
          <w:tcPr>
            <w:tcW w:w="1475" w:type="dxa"/>
            <w:tcBorders>
              <w:top w:val="nil"/>
              <w:left w:val="nil"/>
              <w:bottom w:val="single" w:color="auto" w:sz="4" w:space="0"/>
              <w:right w:val="single" w:color="auto" w:sz="4" w:space="0"/>
            </w:tcBorders>
            <w:shd w:val="clear" w:color="auto" w:fill="auto"/>
            <w:vAlign w:val="center"/>
          </w:tcPr>
          <w:p w14:paraId="695F295E">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700</w:t>
            </w:r>
          </w:p>
        </w:tc>
        <w:tc>
          <w:tcPr>
            <w:tcW w:w="1695" w:type="dxa"/>
            <w:tcBorders>
              <w:top w:val="nil"/>
              <w:left w:val="nil"/>
              <w:bottom w:val="single" w:color="auto" w:sz="4" w:space="0"/>
              <w:right w:val="single" w:color="auto" w:sz="4" w:space="0"/>
            </w:tcBorders>
            <w:shd w:val="clear" w:color="auto" w:fill="auto"/>
            <w:vAlign w:val="center"/>
          </w:tcPr>
          <w:p w14:paraId="29465B4E">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625" w:type="dxa"/>
            <w:vMerge w:val="restart"/>
            <w:tcBorders>
              <w:top w:val="nil"/>
              <w:left w:val="nil"/>
              <w:right w:val="single" w:color="auto" w:sz="4" w:space="0"/>
            </w:tcBorders>
            <w:shd w:val="clear" w:color="auto" w:fill="auto"/>
            <w:vAlign w:val="center"/>
          </w:tcPr>
          <w:p w14:paraId="48B5DD24">
            <w:pPr>
              <w:widowControl/>
              <w:jc w:val="cente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大写：</w:t>
            </w:r>
          </w:p>
          <w:p w14:paraId="3F8928F3">
            <w:pPr>
              <w:widowControl/>
              <w:jc w:val="center"/>
              <w:rPr>
                <w:rFonts w:hint="default"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小写：</w:t>
            </w:r>
          </w:p>
        </w:tc>
      </w:tr>
      <w:tr w14:paraId="4DE9390D">
        <w:tblPrEx>
          <w:tblCellMar>
            <w:top w:w="0" w:type="dxa"/>
            <w:left w:w="108" w:type="dxa"/>
            <w:bottom w:w="0" w:type="dxa"/>
            <w:right w:w="108" w:type="dxa"/>
          </w:tblCellMar>
        </w:tblPrEx>
        <w:trPr>
          <w:trHeight w:val="576" w:hRule="atLeast"/>
        </w:trPr>
        <w:tc>
          <w:tcPr>
            <w:tcW w:w="2493" w:type="dxa"/>
            <w:vMerge w:val="continue"/>
            <w:tcBorders>
              <w:top w:val="nil"/>
              <w:left w:val="single" w:color="auto" w:sz="4" w:space="0"/>
              <w:bottom w:val="single" w:color="auto" w:sz="4" w:space="0"/>
              <w:right w:val="single" w:color="auto" w:sz="4" w:space="0"/>
            </w:tcBorders>
            <w:vAlign w:val="center"/>
          </w:tcPr>
          <w:p w14:paraId="08BA9248">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122" w:type="dxa"/>
            <w:tcBorders>
              <w:top w:val="nil"/>
              <w:left w:val="nil"/>
              <w:bottom w:val="single" w:color="auto" w:sz="4" w:space="0"/>
              <w:right w:val="single" w:color="auto" w:sz="4" w:space="0"/>
            </w:tcBorders>
            <w:shd w:val="clear" w:color="auto" w:fill="auto"/>
            <w:vAlign w:val="center"/>
          </w:tcPr>
          <w:p w14:paraId="11B49E88">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100次</w:t>
            </w:r>
          </w:p>
        </w:tc>
        <w:tc>
          <w:tcPr>
            <w:tcW w:w="1439" w:type="dxa"/>
            <w:tcBorders>
              <w:top w:val="nil"/>
              <w:left w:val="nil"/>
              <w:bottom w:val="single" w:color="auto" w:sz="4" w:space="0"/>
              <w:right w:val="single" w:color="auto" w:sz="4" w:space="0"/>
            </w:tcBorders>
            <w:shd w:val="clear" w:color="auto" w:fill="auto"/>
            <w:vAlign w:val="center"/>
          </w:tcPr>
          <w:p w14:paraId="7A023E15">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洁净万级</w:t>
            </w:r>
          </w:p>
        </w:tc>
        <w:tc>
          <w:tcPr>
            <w:tcW w:w="1475" w:type="dxa"/>
            <w:tcBorders>
              <w:top w:val="nil"/>
              <w:left w:val="nil"/>
              <w:bottom w:val="single" w:color="auto" w:sz="4" w:space="0"/>
              <w:right w:val="single" w:color="auto" w:sz="4" w:space="0"/>
            </w:tcBorders>
            <w:shd w:val="clear" w:color="auto" w:fill="auto"/>
            <w:vAlign w:val="center"/>
          </w:tcPr>
          <w:p w14:paraId="6DE26AB5">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700</w:t>
            </w:r>
          </w:p>
        </w:tc>
        <w:tc>
          <w:tcPr>
            <w:tcW w:w="1695" w:type="dxa"/>
            <w:tcBorders>
              <w:top w:val="nil"/>
              <w:left w:val="nil"/>
              <w:bottom w:val="single" w:color="auto" w:sz="4" w:space="0"/>
              <w:right w:val="single" w:color="auto" w:sz="4" w:space="0"/>
            </w:tcBorders>
            <w:shd w:val="clear" w:color="auto" w:fill="auto"/>
            <w:vAlign w:val="center"/>
          </w:tcPr>
          <w:p w14:paraId="7644D61C">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625" w:type="dxa"/>
            <w:vMerge w:val="continue"/>
            <w:tcBorders>
              <w:left w:val="nil"/>
              <w:right w:val="single" w:color="auto" w:sz="4" w:space="0"/>
            </w:tcBorders>
            <w:shd w:val="clear" w:color="auto" w:fill="auto"/>
            <w:vAlign w:val="center"/>
          </w:tcPr>
          <w:p w14:paraId="0DF53252">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r>
      <w:tr w14:paraId="622B8808">
        <w:tblPrEx>
          <w:tblCellMar>
            <w:top w:w="0" w:type="dxa"/>
            <w:left w:w="108" w:type="dxa"/>
            <w:bottom w:w="0" w:type="dxa"/>
            <w:right w:w="108" w:type="dxa"/>
          </w:tblCellMar>
        </w:tblPrEx>
        <w:trPr>
          <w:trHeight w:val="2037" w:hRule="atLeast"/>
        </w:trPr>
        <w:tc>
          <w:tcPr>
            <w:tcW w:w="2493" w:type="dxa"/>
            <w:vMerge w:val="continue"/>
            <w:tcBorders>
              <w:top w:val="nil"/>
              <w:left w:val="single" w:color="auto" w:sz="4" w:space="0"/>
              <w:bottom w:val="single" w:color="auto" w:sz="4" w:space="0"/>
              <w:right w:val="single" w:color="auto" w:sz="4" w:space="0"/>
            </w:tcBorders>
            <w:vAlign w:val="center"/>
          </w:tcPr>
          <w:p w14:paraId="36998474">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122" w:type="dxa"/>
            <w:tcBorders>
              <w:top w:val="nil"/>
              <w:left w:val="nil"/>
              <w:bottom w:val="single" w:color="auto" w:sz="4" w:space="0"/>
              <w:right w:val="single" w:color="auto" w:sz="4" w:space="0"/>
            </w:tcBorders>
            <w:shd w:val="clear" w:color="auto" w:fill="auto"/>
            <w:vAlign w:val="center"/>
          </w:tcPr>
          <w:p w14:paraId="1C8BCAE4">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30次</w:t>
            </w:r>
          </w:p>
        </w:tc>
        <w:tc>
          <w:tcPr>
            <w:tcW w:w="1439" w:type="dxa"/>
            <w:tcBorders>
              <w:top w:val="nil"/>
              <w:left w:val="nil"/>
              <w:bottom w:val="single" w:color="auto" w:sz="4" w:space="0"/>
              <w:right w:val="single" w:color="auto" w:sz="4" w:space="0"/>
            </w:tcBorders>
            <w:shd w:val="clear" w:color="auto" w:fill="auto"/>
            <w:vAlign w:val="center"/>
          </w:tcPr>
          <w:p w14:paraId="374799A9">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洁净十万级</w:t>
            </w:r>
          </w:p>
        </w:tc>
        <w:tc>
          <w:tcPr>
            <w:tcW w:w="1475" w:type="dxa"/>
            <w:tcBorders>
              <w:top w:val="nil"/>
              <w:left w:val="nil"/>
              <w:bottom w:val="single" w:color="auto" w:sz="4" w:space="0"/>
              <w:right w:val="single" w:color="auto" w:sz="4" w:space="0"/>
            </w:tcBorders>
            <w:shd w:val="clear" w:color="auto" w:fill="auto"/>
            <w:vAlign w:val="center"/>
          </w:tcPr>
          <w:p w14:paraId="5388C1E3">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400</w:t>
            </w:r>
          </w:p>
        </w:tc>
        <w:tc>
          <w:tcPr>
            <w:tcW w:w="1695" w:type="dxa"/>
            <w:tcBorders>
              <w:top w:val="nil"/>
              <w:left w:val="nil"/>
              <w:bottom w:val="single" w:color="auto" w:sz="4" w:space="0"/>
              <w:right w:val="single" w:color="auto" w:sz="4" w:space="0"/>
            </w:tcBorders>
            <w:shd w:val="clear" w:color="auto" w:fill="auto"/>
            <w:vAlign w:val="center"/>
          </w:tcPr>
          <w:p w14:paraId="56095689">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625" w:type="dxa"/>
            <w:vMerge w:val="continue"/>
            <w:tcBorders>
              <w:left w:val="nil"/>
              <w:right w:val="single" w:color="auto" w:sz="4" w:space="0"/>
            </w:tcBorders>
            <w:shd w:val="clear" w:color="auto" w:fill="auto"/>
            <w:vAlign w:val="center"/>
          </w:tcPr>
          <w:p w14:paraId="64C359B2">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r>
      <w:tr w14:paraId="6F2CEFE8">
        <w:tblPrEx>
          <w:tblCellMar>
            <w:top w:w="0" w:type="dxa"/>
            <w:left w:w="108" w:type="dxa"/>
            <w:bottom w:w="0" w:type="dxa"/>
            <w:right w:w="108" w:type="dxa"/>
          </w:tblCellMar>
        </w:tblPrEx>
        <w:trPr>
          <w:trHeight w:val="1349" w:hRule="atLeast"/>
        </w:trPr>
        <w:tc>
          <w:tcPr>
            <w:tcW w:w="2493" w:type="dxa"/>
            <w:tcBorders>
              <w:top w:val="nil"/>
              <w:left w:val="single" w:color="auto" w:sz="4" w:space="0"/>
              <w:bottom w:val="single" w:color="auto" w:sz="4" w:space="0"/>
              <w:right w:val="single" w:color="auto" w:sz="4" w:space="0"/>
            </w:tcBorders>
            <w:shd w:val="clear" w:color="auto" w:fill="auto"/>
            <w:vAlign w:val="center"/>
          </w:tcPr>
          <w:p w14:paraId="33698DEC">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下降气流流速、流入气流流速、噪声、照度、高效过滤器完整性、气流烟雾模式、设备外观与结构完整性</w:t>
            </w:r>
          </w:p>
        </w:tc>
        <w:tc>
          <w:tcPr>
            <w:tcW w:w="1122" w:type="dxa"/>
            <w:tcBorders>
              <w:top w:val="nil"/>
              <w:left w:val="nil"/>
              <w:bottom w:val="single" w:color="auto" w:sz="4" w:space="0"/>
              <w:right w:val="single" w:color="auto" w:sz="4" w:space="0"/>
            </w:tcBorders>
            <w:shd w:val="clear" w:color="auto" w:fill="auto"/>
            <w:vAlign w:val="center"/>
          </w:tcPr>
          <w:p w14:paraId="35D50F71">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40次</w:t>
            </w:r>
          </w:p>
        </w:tc>
        <w:tc>
          <w:tcPr>
            <w:tcW w:w="2914" w:type="dxa"/>
            <w:gridSpan w:val="2"/>
            <w:tcBorders>
              <w:top w:val="single" w:color="auto" w:sz="4" w:space="0"/>
              <w:left w:val="nil"/>
              <w:bottom w:val="single" w:color="auto" w:sz="4" w:space="0"/>
              <w:right w:val="single" w:color="auto" w:sz="4" w:space="0"/>
            </w:tcBorders>
            <w:shd w:val="clear" w:color="auto" w:fill="auto"/>
            <w:vAlign w:val="center"/>
          </w:tcPr>
          <w:p w14:paraId="3CED6C63">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1000</w:t>
            </w:r>
          </w:p>
        </w:tc>
        <w:tc>
          <w:tcPr>
            <w:tcW w:w="1695" w:type="dxa"/>
            <w:tcBorders>
              <w:top w:val="single" w:color="auto" w:sz="4" w:space="0"/>
              <w:left w:val="nil"/>
              <w:bottom w:val="single" w:color="auto" w:sz="4" w:space="0"/>
              <w:right w:val="single" w:color="auto" w:sz="4" w:space="0"/>
            </w:tcBorders>
            <w:shd w:val="clear" w:color="auto" w:fill="auto"/>
            <w:vAlign w:val="center"/>
          </w:tcPr>
          <w:p w14:paraId="5F9AC6BF">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625" w:type="dxa"/>
            <w:vMerge w:val="continue"/>
            <w:tcBorders>
              <w:left w:val="nil"/>
              <w:right w:val="single" w:color="auto" w:sz="4" w:space="0"/>
            </w:tcBorders>
            <w:shd w:val="clear" w:color="auto" w:fill="auto"/>
            <w:vAlign w:val="center"/>
          </w:tcPr>
          <w:p w14:paraId="37E97B38">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r>
      <w:tr w14:paraId="664D93CF">
        <w:tblPrEx>
          <w:tblCellMar>
            <w:top w:w="0" w:type="dxa"/>
            <w:left w:w="108" w:type="dxa"/>
            <w:bottom w:w="0" w:type="dxa"/>
            <w:right w:w="108" w:type="dxa"/>
          </w:tblCellMar>
        </w:tblPrEx>
        <w:trPr>
          <w:trHeight w:val="1562" w:hRule="atLeast"/>
        </w:trPr>
        <w:tc>
          <w:tcPr>
            <w:tcW w:w="2493" w:type="dxa"/>
            <w:tcBorders>
              <w:top w:val="nil"/>
              <w:left w:val="single" w:color="auto" w:sz="4" w:space="0"/>
              <w:bottom w:val="single" w:color="auto" w:sz="4" w:space="0"/>
              <w:right w:val="single" w:color="auto" w:sz="4" w:space="0"/>
            </w:tcBorders>
            <w:shd w:val="clear" w:color="auto" w:fill="auto"/>
            <w:vAlign w:val="center"/>
          </w:tcPr>
          <w:p w14:paraId="1B8DADEB">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下降气流流速、流入气流流速、噪声、照度、高效过滤器完整性、气流烟雾模式、设备外观与结构完整性</w:t>
            </w:r>
          </w:p>
        </w:tc>
        <w:tc>
          <w:tcPr>
            <w:tcW w:w="1122" w:type="dxa"/>
            <w:tcBorders>
              <w:top w:val="nil"/>
              <w:left w:val="nil"/>
              <w:bottom w:val="single" w:color="auto" w:sz="4" w:space="0"/>
              <w:right w:val="single" w:color="auto" w:sz="4" w:space="0"/>
            </w:tcBorders>
            <w:shd w:val="clear" w:color="auto" w:fill="auto"/>
            <w:vAlign w:val="center"/>
          </w:tcPr>
          <w:p w14:paraId="27781A4A">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10次</w:t>
            </w:r>
          </w:p>
        </w:tc>
        <w:tc>
          <w:tcPr>
            <w:tcW w:w="2914" w:type="dxa"/>
            <w:gridSpan w:val="2"/>
            <w:tcBorders>
              <w:top w:val="single" w:color="auto" w:sz="4" w:space="0"/>
              <w:left w:val="nil"/>
              <w:bottom w:val="single" w:color="auto" w:sz="4" w:space="0"/>
              <w:right w:val="single" w:color="auto" w:sz="4" w:space="0"/>
            </w:tcBorders>
            <w:shd w:val="clear" w:color="auto" w:fill="auto"/>
            <w:vAlign w:val="center"/>
          </w:tcPr>
          <w:p w14:paraId="33400739">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600</w:t>
            </w:r>
          </w:p>
        </w:tc>
        <w:tc>
          <w:tcPr>
            <w:tcW w:w="1695" w:type="dxa"/>
            <w:tcBorders>
              <w:top w:val="single" w:color="auto" w:sz="4" w:space="0"/>
              <w:left w:val="nil"/>
              <w:bottom w:val="single" w:color="auto" w:sz="4" w:space="0"/>
              <w:right w:val="single" w:color="auto" w:sz="4" w:space="0"/>
            </w:tcBorders>
            <w:shd w:val="clear" w:color="auto" w:fill="auto"/>
            <w:vAlign w:val="center"/>
          </w:tcPr>
          <w:p w14:paraId="5EA8468E">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625" w:type="dxa"/>
            <w:vMerge w:val="continue"/>
            <w:tcBorders>
              <w:left w:val="nil"/>
              <w:right w:val="single" w:color="auto" w:sz="4" w:space="0"/>
            </w:tcBorders>
            <w:shd w:val="clear" w:color="auto" w:fill="auto"/>
            <w:vAlign w:val="center"/>
          </w:tcPr>
          <w:p w14:paraId="49AC6E7F">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r>
      <w:tr w14:paraId="26B748D7">
        <w:tblPrEx>
          <w:tblCellMar>
            <w:top w:w="0" w:type="dxa"/>
            <w:left w:w="108" w:type="dxa"/>
            <w:bottom w:w="0" w:type="dxa"/>
            <w:right w:w="108" w:type="dxa"/>
          </w:tblCellMar>
        </w:tblPrEx>
        <w:trPr>
          <w:trHeight w:val="1057" w:hRule="atLeast"/>
        </w:trPr>
        <w:tc>
          <w:tcPr>
            <w:tcW w:w="2493" w:type="dxa"/>
            <w:tcBorders>
              <w:top w:val="single" w:color="auto" w:sz="4" w:space="0"/>
              <w:left w:val="single" w:color="auto" w:sz="4" w:space="0"/>
              <w:bottom w:val="single" w:color="auto" w:sz="4" w:space="0"/>
              <w:right w:val="single" w:color="auto" w:sz="4" w:space="0"/>
            </w:tcBorders>
            <w:shd w:val="clear" w:color="auto" w:fill="auto"/>
            <w:vAlign w:val="center"/>
          </w:tcPr>
          <w:p w14:paraId="5443AC4B">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颗粒物、二氧化硫、林格曼黑度2次/年</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AFF2B66">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8次</w:t>
            </w:r>
          </w:p>
        </w:tc>
        <w:tc>
          <w:tcPr>
            <w:tcW w:w="2914" w:type="dxa"/>
            <w:gridSpan w:val="2"/>
            <w:tcBorders>
              <w:top w:val="single" w:color="auto" w:sz="4" w:space="0"/>
              <w:left w:val="nil"/>
              <w:bottom w:val="single" w:color="auto" w:sz="4" w:space="0"/>
              <w:right w:val="single" w:color="auto" w:sz="4" w:space="0"/>
            </w:tcBorders>
            <w:shd w:val="clear" w:color="auto" w:fill="auto"/>
            <w:vAlign w:val="center"/>
          </w:tcPr>
          <w:p w14:paraId="27F01068">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2600</w:t>
            </w:r>
          </w:p>
        </w:tc>
        <w:tc>
          <w:tcPr>
            <w:tcW w:w="1695" w:type="dxa"/>
            <w:tcBorders>
              <w:top w:val="single" w:color="auto" w:sz="4" w:space="0"/>
              <w:left w:val="nil"/>
              <w:bottom w:val="single" w:color="auto" w:sz="4" w:space="0"/>
              <w:right w:val="single" w:color="auto" w:sz="4" w:space="0"/>
            </w:tcBorders>
            <w:shd w:val="clear" w:color="auto" w:fill="auto"/>
            <w:vAlign w:val="center"/>
          </w:tcPr>
          <w:p w14:paraId="2DF14E5A">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625" w:type="dxa"/>
            <w:vMerge w:val="continue"/>
            <w:tcBorders>
              <w:left w:val="nil"/>
              <w:bottom w:val="single" w:color="auto" w:sz="4" w:space="0"/>
              <w:right w:val="single" w:color="auto" w:sz="4" w:space="0"/>
            </w:tcBorders>
            <w:shd w:val="clear" w:color="auto" w:fill="auto"/>
            <w:vAlign w:val="center"/>
          </w:tcPr>
          <w:p w14:paraId="2EA826B0">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r>
    </w:tbl>
    <w:p w14:paraId="3EE3F764">
      <w:pPr>
        <w:widowControl/>
        <w:jc w:val="left"/>
        <w:rPr>
          <w:rFonts w:ascii="仿宋" w:hAnsi="仿宋" w:eastAsia="仿宋" w:cs="仿宋"/>
          <w:sz w:val="24"/>
          <w:szCs w:val="24"/>
          <w:lang w:val="zh-TW"/>
        </w:rPr>
      </w:pPr>
    </w:p>
    <w:p w14:paraId="03295931">
      <w:pPr>
        <w:widowControl/>
        <w:jc w:val="left"/>
        <w:rPr>
          <w:rFonts w:ascii="仿宋" w:hAnsi="仿宋" w:eastAsia="仿宋" w:cs="仿宋"/>
          <w:sz w:val="24"/>
          <w:szCs w:val="24"/>
          <w:lang w:val="zh-TW"/>
        </w:rPr>
      </w:pPr>
    </w:p>
    <w:p w14:paraId="2DAB0691">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444D9DFD">
      <w:pPr>
        <w:pStyle w:val="10"/>
        <w:rPr>
          <w:rFonts w:ascii="仿宋" w:hAnsi="仿宋" w:eastAsia="仿宋" w:cs="仿宋"/>
          <w:lang w:val="zh-TW" w:eastAsia="zh-TW"/>
        </w:rPr>
      </w:pPr>
    </w:p>
    <w:p w14:paraId="16596863">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24B44DC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759E336C">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44700B1D">
      <w:pPr>
        <w:rPr>
          <w:rFonts w:ascii="仿宋" w:hAnsi="仿宋" w:eastAsia="仿宋" w:cs="仿宋"/>
          <w:sz w:val="24"/>
          <w:szCs w:val="24"/>
          <w:u w:val="single"/>
        </w:rPr>
      </w:pPr>
      <w:r>
        <w:rPr>
          <w:rFonts w:hint="eastAsia" w:ascii="仿宋" w:hAnsi="仿宋" w:eastAsia="仿宋" w:cs="仿宋"/>
          <w:sz w:val="24"/>
          <w:szCs w:val="24"/>
          <w:u w:val="single"/>
        </w:rPr>
        <w:br w:type="page"/>
      </w:r>
    </w:p>
    <w:p w14:paraId="7C5B2EF7">
      <w:pPr>
        <w:pStyle w:val="3"/>
        <w:numPr>
          <w:ilvl w:val="1"/>
          <w:numId w:val="9"/>
        </w:numPr>
        <w:jc w:val="both"/>
      </w:pPr>
      <w:r>
        <w:rPr>
          <w:rFonts w:hint="eastAsia"/>
        </w:rPr>
        <w:t>供应商认为需要提供的其他材料</w:t>
      </w:r>
      <w:bookmarkEnd w:id="76"/>
      <w:bookmarkEnd w:id="77"/>
      <w:bookmarkEnd w:id="78"/>
      <w:bookmarkEnd w:id="79"/>
      <w:bookmarkEnd w:id="80"/>
      <w:bookmarkEnd w:id="81"/>
    </w:p>
    <w:p w14:paraId="38D39139">
      <w:pPr>
        <w:pStyle w:val="10"/>
        <w:jc w:val="center"/>
        <w:rPr>
          <w:rFonts w:ascii="仿宋" w:hAnsi="仿宋" w:eastAsia="仿宋" w:cs="仿宋"/>
        </w:rPr>
      </w:pPr>
    </w:p>
    <w:p w14:paraId="08F9FA97">
      <w:pPr>
        <w:pStyle w:val="10"/>
        <w:jc w:val="center"/>
        <w:rPr>
          <w:rFonts w:ascii="仿宋" w:hAnsi="仿宋" w:eastAsia="仿宋" w:cs="仿宋"/>
        </w:rPr>
      </w:pPr>
    </w:p>
    <w:p w14:paraId="1CCF6A58">
      <w:pPr>
        <w:pStyle w:val="10"/>
        <w:jc w:val="center"/>
        <w:rPr>
          <w:rFonts w:ascii="仿宋" w:hAnsi="仿宋" w:eastAsia="仿宋" w:cs="仿宋"/>
        </w:rPr>
      </w:pPr>
    </w:p>
    <w:p w14:paraId="1D2C0268">
      <w:pPr>
        <w:pStyle w:val="10"/>
        <w:jc w:val="center"/>
        <w:rPr>
          <w:rFonts w:ascii="仿宋" w:hAnsi="仿宋" w:eastAsia="仿宋" w:cs="仿宋"/>
          <w:b/>
          <w:bCs/>
          <w:sz w:val="32"/>
          <w:szCs w:val="36"/>
        </w:rPr>
      </w:pPr>
      <w:r>
        <w:rPr>
          <w:rFonts w:hint="eastAsia" w:ascii="仿宋" w:hAnsi="仿宋" w:eastAsia="仿宋" w:cs="仿宋"/>
          <w:b/>
          <w:bCs/>
          <w:sz w:val="32"/>
          <w:szCs w:val="36"/>
        </w:rPr>
        <w:t>格式自拟</w:t>
      </w:r>
    </w:p>
    <w:p w14:paraId="1E4B212B">
      <w:pPr>
        <w:jc w:val="left"/>
        <w:rPr>
          <w:rFonts w:ascii="仿宋" w:hAnsi="仿宋" w:eastAsia="仿宋" w:cs="仿宋"/>
          <w:sz w:val="24"/>
          <w:szCs w:val="24"/>
          <w:u w:val="single"/>
        </w:rPr>
      </w:pPr>
      <w:bookmarkStart w:id="82" w:name="_Toc20691"/>
      <w:bookmarkStart w:id="83" w:name="_Toc5447"/>
      <w:r>
        <w:rPr>
          <w:rFonts w:hint="eastAsia" w:ascii="黑体" w:hAnsi="黑体" w:eastAsia="黑体" w:cs="黑体"/>
          <w:b/>
          <w:sz w:val="36"/>
          <w:szCs w:val="32"/>
        </w:rPr>
        <w:br w:type="page"/>
      </w:r>
      <w:bookmarkEnd w:id="82"/>
      <w:bookmarkEnd w:id="83"/>
    </w:p>
    <w:p w14:paraId="3321D059">
      <w:pPr>
        <w:rPr>
          <w:b/>
          <w:bCs/>
          <w:sz w:val="44"/>
          <w:szCs w:val="52"/>
        </w:rPr>
      </w:pPr>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8EEC796-F260-4250-9FEA-74FB40C5ACF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52FE5FF-7CBE-4C6A-AB01-1E623D2B7B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0D811FB-2D96-4435-81FF-9DD35B4617A8}"/>
  </w:font>
  <w:font w:name="仿宋">
    <w:panose1 w:val="02010609060101010101"/>
    <w:charset w:val="86"/>
    <w:family w:val="modern"/>
    <w:pitch w:val="default"/>
    <w:sig w:usb0="800002BF" w:usb1="38CF7CFA" w:usb2="00000016" w:usb3="00000000" w:csb0="00040001" w:csb1="00000000"/>
    <w:embedRegular r:id="rId4" w:fontKey="{C65BEE20-6E26-4AFE-832D-859A8A1B33CC}"/>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5" w:fontKey="{C0BB2263-F9AE-4D2C-BAD9-D26ADB6563DA}"/>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embedRegular r:id="rId6" w:fontKey="{04F23D72-F5BB-4492-B736-800F2BEEE84C}"/>
  </w:font>
  <w:font w:name="等线">
    <w:panose1 w:val="02010600030101010101"/>
    <w:charset w:val="86"/>
    <w:family w:val="auto"/>
    <w:pitch w:val="default"/>
    <w:sig w:usb0="A00002BF" w:usb1="38CF7CFA" w:usb2="00000016" w:usb3="00000000" w:csb0="0004000F" w:csb1="00000000"/>
    <w:embedRegular r:id="rId7" w:fontKey="{56DACB0D-72AA-4F27-BA82-BB899CFA3151}"/>
  </w:font>
  <w:font w:name="KSOFE44F9426">
    <w:panose1 w:val="02010609060101010101"/>
    <w:charset w:val="86"/>
    <w:family w:val="auto"/>
    <w:pitch w:val="default"/>
    <w:sig w:usb0="00000001" w:usb1="00000000" w:usb2="00000000" w:usb3="00000000" w:csb0="00040001" w:csb1="00000000"/>
  </w:font>
  <w:font w:name="KSOFE816CA0F">
    <w:panose1 w:val="020206030504050203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FAC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4C5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920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F5C0">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DFF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32721">
                          <w:pPr>
                            <w:pStyle w:val="1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5页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732721">
                    <w:pPr>
                      <w:pStyle w:val="1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5页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9FA8">
    <w:pPr>
      <w:pStyle w:val="16"/>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83A5">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BE869">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A3A9">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B1B3E">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6">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7">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8">
    <w:nsid w:val="F2F731C3"/>
    <w:multiLevelType w:val="singleLevel"/>
    <w:tmpl w:val="F2F731C3"/>
    <w:lvl w:ilvl="0" w:tentative="0">
      <w:start w:val="1"/>
      <w:numFmt w:val="chineseCounting"/>
      <w:pStyle w:val="3"/>
      <w:suff w:val="nothing"/>
      <w:lvlText w:val="%1、"/>
      <w:lvlJc w:val="left"/>
      <w:pPr>
        <w:ind w:left="1990" w:firstLine="420"/>
      </w:pPr>
      <w:rPr>
        <w:rFonts w:hint="eastAsia"/>
      </w:rPr>
    </w:lvl>
  </w:abstractNum>
  <w:abstractNum w:abstractNumId="9">
    <w:nsid w:val="FCA5E3A8"/>
    <w:multiLevelType w:val="singleLevel"/>
    <w:tmpl w:val="FCA5E3A8"/>
    <w:lvl w:ilvl="0" w:tentative="0">
      <w:start w:val="1"/>
      <w:numFmt w:val="decimal"/>
      <w:suff w:val="nothing"/>
      <w:lvlText w:val="（%1）"/>
      <w:lvlJc w:val="left"/>
      <w:pPr>
        <w:ind w:left="-210"/>
      </w:pPr>
    </w:lvl>
  </w:abstractNum>
  <w:abstractNum w:abstractNumId="10">
    <w:nsid w:val="1F712D09"/>
    <w:multiLevelType w:val="singleLevel"/>
    <w:tmpl w:val="1F712D09"/>
    <w:lvl w:ilvl="0" w:tentative="0">
      <w:start w:val="1"/>
      <w:numFmt w:val="decimal"/>
      <w:lvlText w:val="(%1)"/>
      <w:lvlJc w:val="left"/>
      <w:pPr>
        <w:ind w:left="218" w:hanging="425"/>
      </w:pPr>
      <w:rPr>
        <w:rFonts w:hint="default"/>
      </w:rPr>
    </w:lvl>
  </w:abstractNum>
  <w:abstractNum w:abstractNumId="11">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3A69C7D9"/>
    <w:multiLevelType w:val="singleLevel"/>
    <w:tmpl w:val="3A69C7D9"/>
    <w:lvl w:ilvl="0" w:tentative="0">
      <w:start w:val="1"/>
      <w:numFmt w:val="decimal"/>
      <w:lvlText w:val="(%1)"/>
      <w:lvlJc w:val="left"/>
      <w:pPr>
        <w:ind w:left="425" w:hanging="425"/>
      </w:pPr>
      <w:rPr>
        <w:rFonts w:hint="default"/>
      </w:r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3F851306"/>
    <w:multiLevelType w:val="multilevel"/>
    <w:tmpl w:val="3F851306"/>
    <w:lvl w:ilvl="0" w:tentative="0">
      <w:start w:val="1"/>
      <w:numFmt w:val="decimal"/>
      <w:lvlText w:val="%1、"/>
      <w:lvlJc w:val="left"/>
      <w:pPr>
        <w:ind w:left="570" w:hanging="360"/>
      </w:pPr>
      <w:rPr>
        <w:rFonts w:hint="default"/>
      </w:rPr>
    </w:lvl>
    <w:lvl w:ilvl="1" w:tentative="0">
      <w:start w:val="8"/>
      <w:numFmt w:val="japaneseCounting"/>
      <w:lvlText w:val="%2、"/>
      <w:lvlJc w:val="left"/>
      <w:pPr>
        <w:ind w:left="1429" w:hanging="72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5">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6">
    <w:nsid w:val="5EBAB16C"/>
    <w:multiLevelType w:val="singleLevel"/>
    <w:tmpl w:val="5EBAB16C"/>
    <w:lvl w:ilvl="0" w:tentative="0">
      <w:start w:val="5"/>
      <w:numFmt w:val="chineseCounting"/>
      <w:suff w:val="space"/>
      <w:lvlText w:val="第%1章"/>
      <w:lvlJc w:val="left"/>
      <w:rPr>
        <w:rFonts w:hint="eastAsia"/>
      </w:rPr>
    </w:lvl>
  </w:abstractNum>
  <w:abstractNum w:abstractNumId="17">
    <w:nsid w:val="770C1C50"/>
    <w:multiLevelType w:val="singleLevel"/>
    <w:tmpl w:val="770C1C50"/>
    <w:lvl w:ilvl="0" w:tentative="0">
      <w:start w:val="1"/>
      <w:numFmt w:val="chineseCounting"/>
      <w:suff w:val="nothing"/>
      <w:lvlText w:val="%1、"/>
      <w:lvlJc w:val="left"/>
      <w:pPr>
        <w:ind w:left="0" w:firstLine="420"/>
      </w:pPr>
      <w:rPr>
        <w:rFonts w:hint="eastAsia"/>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1"/>
  </w:num>
  <w:num w:numId="2">
    <w:abstractNumId w:val="8"/>
  </w:num>
  <w:num w:numId="3">
    <w:abstractNumId w:val="13"/>
  </w:num>
  <w:num w:numId="4">
    <w:abstractNumId w:val="18"/>
  </w:num>
  <w:num w:numId="5">
    <w:abstractNumId w:val="10"/>
  </w:num>
  <w:num w:numId="6">
    <w:abstractNumId w:val="15"/>
  </w:num>
  <w:num w:numId="7">
    <w:abstractNumId w:val="12"/>
  </w:num>
  <w:num w:numId="8">
    <w:abstractNumId w:val="7"/>
  </w:num>
  <w:num w:numId="9">
    <w:abstractNumId w:val="14"/>
  </w:num>
  <w:num w:numId="10">
    <w:abstractNumId w:val="1"/>
  </w:num>
  <w:num w:numId="11">
    <w:abstractNumId w:val="4"/>
  </w:num>
  <w:num w:numId="12">
    <w:abstractNumId w:val="0"/>
  </w:num>
  <w:num w:numId="13">
    <w:abstractNumId w:val="2"/>
  </w:num>
  <w:num w:numId="14">
    <w:abstractNumId w:val="6"/>
  </w:num>
  <w:num w:numId="15">
    <w:abstractNumId w:val="3"/>
  </w:num>
  <w:num w:numId="16">
    <w:abstractNumId w:val="5"/>
  </w:num>
  <w:num w:numId="17">
    <w:abstractNumId w:val="9"/>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96B4A"/>
    <w:rsid w:val="000B7793"/>
    <w:rsid w:val="000C337E"/>
    <w:rsid w:val="00114C26"/>
    <w:rsid w:val="00163C94"/>
    <w:rsid w:val="001A04E2"/>
    <w:rsid w:val="00207D04"/>
    <w:rsid w:val="00217A0D"/>
    <w:rsid w:val="0022301C"/>
    <w:rsid w:val="002751DD"/>
    <w:rsid w:val="002B5793"/>
    <w:rsid w:val="002E68AF"/>
    <w:rsid w:val="00395580"/>
    <w:rsid w:val="003F028A"/>
    <w:rsid w:val="004035FE"/>
    <w:rsid w:val="00403654"/>
    <w:rsid w:val="00421AD9"/>
    <w:rsid w:val="00461368"/>
    <w:rsid w:val="00463DD9"/>
    <w:rsid w:val="0046491D"/>
    <w:rsid w:val="00465660"/>
    <w:rsid w:val="00466DA5"/>
    <w:rsid w:val="00474D2A"/>
    <w:rsid w:val="00482C70"/>
    <w:rsid w:val="00483AB3"/>
    <w:rsid w:val="004D41D3"/>
    <w:rsid w:val="004F4DC4"/>
    <w:rsid w:val="00526A0D"/>
    <w:rsid w:val="00555827"/>
    <w:rsid w:val="005A33DF"/>
    <w:rsid w:val="005A705A"/>
    <w:rsid w:val="005F56BD"/>
    <w:rsid w:val="006001D5"/>
    <w:rsid w:val="006040D8"/>
    <w:rsid w:val="00640C2B"/>
    <w:rsid w:val="0064444C"/>
    <w:rsid w:val="00652585"/>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974D88"/>
    <w:rsid w:val="00A12C4A"/>
    <w:rsid w:val="00A46DD1"/>
    <w:rsid w:val="00A72CD1"/>
    <w:rsid w:val="00A7781A"/>
    <w:rsid w:val="00AE7876"/>
    <w:rsid w:val="00B039D6"/>
    <w:rsid w:val="00B07570"/>
    <w:rsid w:val="00B16CD7"/>
    <w:rsid w:val="00B2440D"/>
    <w:rsid w:val="00B55385"/>
    <w:rsid w:val="00B63B3D"/>
    <w:rsid w:val="00BC1C51"/>
    <w:rsid w:val="00BE026E"/>
    <w:rsid w:val="00BE12C0"/>
    <w:rsid w:val="00BE5655"/>
    <w:rsid w:val="00BF0CD1"/>
    <w:rsid w:val="00BF35B5"/>
    <w:rsid w:val="00C06635"/>
    <w:rsid w:val="00C12547"/>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714A"/>
    <w:rsid w:val="00E75424"/>
    <w:rsid w:val="00E81879"/>
    <w:rsid w:val="00F3202A"/>
    <w:rsid w:val="00F33158"/>
    <w:rsid w:val="00F523A1"/>
    <w:rsid w:val="00F90C3B"/>
    <w:rsid w:val="00FE1AEE"/>
    <w:rsid w:val="00FF60E3"/>
    <w:rsid w:val="017D59D9"/>
    <w:rsid w:val="01FF1E15"/>
    <w:rsid w:val="02E34968"/>
    <w:rsid w:val="037B73C5"/>
    <w:rsid w:val="038E0C11"/>
    <w:rsid w:val="041D546A"/>
    <w:rsid w:val="04510922"/>
    <w:rsid w:val="058C78B0"/>
    <w:rsid w:val="05E13064"/>
    <w:rsid w:val="06043A48"/>
    <w:rsid w:val="06B15041"/>
    <w:rsid w:val="07275343"/>
    <w:rsid w:val="076444C8"/>
    <w:rsid w:val="078909F5"/>
    <w:rsid w:val="07CA7DEC"/>
    <w:rsid w:val="07E436C5"/>
    <w:rsid w:val="08CC67C9"/>
    <w:rsid w:val="091F389C"/>
    <w:rsid w:val="093A3733"/>
    <w:rsid w:val="0A5B6C7C"/>
    <w:rsid w:val="0AD74272"/>
    <w:rsid w:val="0B223ED3"/>
    <w:rsid w:val="0B395F4B"/>
    <w:rsid w:val="0B4276FF"/>
    <w:rsid w:val="0B4508AE"/>
    <w:rsid w:val="0BF34D9F"/>
    <w:rsid w:val="0BFA2787"/>
    <w:rsid w:val="0C375F99"/>
    <w:rsid w:val="0CD33899"/>
    <w:rsid w:val="0DD431BA"/>
    <w:rsid w:val="0DF04D08"/>
    <w:rsid w:val="0E0B7FF0"/>
    <w:rsid w:val="0E9A4D55"/>
    <w:rsid w:val="0EB75826"/>
    <w:rsid w:val="0F1E6969"/>
    <w:rsid w:val="0F23034D"/>
    <w:rsid w:val="0F2E7774"/>
    <w:rsid w:val="0F522C33"/>
    <w:rsid w:val="0FBF2BE4"/>
    <w:rsid w:val="10453CDC"/>
    <w:rsid w:val="111E5122"/>
    <w:rsid w:val="11230554"/>
    <w:rsid w:val="116752E1"/>
    <w:rsid w:val="117A5014"/>
    <w:rsid w:val="11B31C24"/>
    <w:rsid w:val="11BC3956"/>
    <w:rsid w:val="11C15BEE"/>
    <w:rsid w:val="11D34725"/>
    <w:rsid w:val="12592B05"/>
    <w:rsid w:val="12685DA4"/>
    <w:rsid w:val="127F05A0"/>
    <w:rsid w:val="12CC371E"/>
    <w:rsid w:val="12E75E98"/>
    <w:rsid w:val="12EA1E51"/>
    <w:rsid w:val="13542C29"/>
    <w:rsid w:val="136D78F8"/>
    <w:rsid w:val="13A63913"/>
    <w:rsid w:val="13CA1BEF"/>
    <w:rsid w:val="14293155"/>
    <w:rsid w:val="143F1847"/>
    <w:rsid w:val="146124BC"/>
    <w:rsid w:val="146C3D6E"/>
    <w:rsid w:val="14A910E0"/>
    <w:rsid w:val="14EF122E"/>
    <w:rsid w:val="15933297"/>
    <w:rsid w:val="15C26E1F"/>
    <w:rsid w:val="15DC53AD"/>
    <w:rsid w:val="162A4F7D"/>
    <w:rsid w:val="16F071FF"/>
    <w:rsid w:val="17130116"/>
    <w:rsid w:val="17887E32"/>
    <w:rsid w:val="179130B8"/>
    <w:rsid w:val="17F1147E"/>
    <w:rsid w:val="18592901"/>
    <w:rsid w:val="19847FC3"/>
    <w:rsid w:val="1994787E"/>
    <w:rsid w:val="19B32B29"/>
    <w:rsid w:val="1A586B54"/>
    <w:rsid w:val="1AEF347F"/>
    <w:rsid w:val="1B077F7A"/>
    <w:rsid w:val="1B3B2C45"/>
    <w:rsid w:val="1C1F383F"/>
    <w:rsid w:val="1DD000AF"/>
    <w:rsid w:val="1E09745A"/>
    <w:rsid w:val="1E14234D"/>
    <w:rsid w:val="1E8F4CF1"/>
    <w:rsid w:val="1EEA46C4"/>
    <w:rsid w:val="1F4F7C3B"/>
    <w:rsid w:val="1F920200"/>
    <w:rsid w:val="1F923E71"/>
    <w:rsid w:val="20580C17"/>
    <w:rsid w:val="20D97009"/>
    <w:rsid w:val="210C2FB0"/>
    <w:rsid w:val="2173335D"/>
    <w:rsid w:val="22691158"/>
    <w:rsid w:val="23791F56"/>
    <w:rsid w:val="250334A1"/>
    <w:rsid w:val="257858B7"/>
    <w:rsid w:val="25BD312B"/>
    <w:rsid w:val="262C2FF8"/>
    <w:rsid w:val="26614BE2"/>
    <w:rsid w:val="26A655F4"/>
    <w:rsid w:val="28FF2906"/>
    <w:rsid w:val="29502FD4"/>
    <w:rsid w:val="298E56A9"/>
    <w:rsid w:val="29A078DB"/>
    <w:rsid w:val="29AD3C82"/>
    <w:rsid w:val="29C5318E"/>
    <w:rsid w:val="29D11A3A"/>
    <w:rsid w:val="29E1357F"/>
    <w:rsid w:val="2A0853A8"/>
    <w:rsid w:val="2A3335F4"/>
    <w:rsid w:val="2AAD33E1"/>
    <w:rsid w:val="2AE409B4"/>
    <w:rsid w:val="2AEF232A"/>
    <w:rsid w:val="2AF54989"/>
    <w:rsid w:val="2B7A1DE5"/>
    <w:rsid w:val="2C9A0A9E"/>
    <w:rsid w:val="2CC93AF1"/>
    <w:rsid w:val="2CCB09C2"/>
    <w:rsid w:val="2CE356C1"/>
    <w:rsid w:val="2CE462F8"/>
    <w:rsid w:val="2DA70D65"/>
    <w:rsid w:val="2DCB2E2D"/>
    <w:rsid w:val="2E8822E7"/>
    <w:rsid w:val="2F1C0375"/>
    <w:rsid w:val="2F966F61"/>
    <w:rsid w:val="305F1EED"/>
    <w:rsid w:val="312608BD"/>
    <w:rsid w:val="31F51A59"/>
    <w:rsid w:val="32724DD0"/>
    <w:rsid w:val="32CE4379"/>
    <w:rsid w:val="33C24ADF"/>
    <w:rsid w:val="343706EB"/>
    <w:rsid w:val="34496B55"/>
    <w:rsid w:val="34D80120"/>
    <w:rsid w:val="351A08D0"/>
    <w:rsid w:val="357519FC"/>
    <w:rsid w:val="35A61797"/>
    <w:rsid w:val="35D03474"/>
    <w:rsid w:val="35D74205"/>
    <w:rsid w:val="367D6EF4"/>
    <w:rsid w:val="37A9630A"/>
    <w:rsid w:val="37BF3B20"/>
    <w:rsid w:val="380B5401"/>
    <w:rsid w:val="38323B02"/>
    <w:rsid w:val="38AE5E8C"/>
    <w:rsid w:val="3A335BDD"/>
    <w:rsid w:val="3A900FE8"/>
    <w:rsid w:val="3AF76D4D"/>
    <w:rsid w:val="3B4E7DFC"/>
    <w:rsid w:val="3C1C42E1"/>
    <w:rsid w:val="3C5B170F"/>
    <w:rsid w:val="3D375AA1"/>
    <w:rsid w:val="3D931F15"/>
    <w:rsid w:val="3DB777F7"/>
    <w:rsid w:val="3E535C46"/>
    <w:rsid w:val="3EA40469"/>
    <w:rsid w:val="3F762A0F"/>
    <w:rsid w:val="3FA84948"/>
    <w:rsid w:val="3FE34CD0"/>
    <w:rsid w:val="40B05AAD"/>
    <w:rsid w:val="41600431"/>
    <w:rsid w:val="41970CA5"/>
    <w:rsid w:val="42075FF8"/>
    <w:rsid w:val="42E77C3D"/>
    <w:rsid w:val="43B7159B"/>
    <w:rsid w:val="4440539A"/>
    <w:rsid w:val="44D13AF4"/>
    <w:rsid w:val="46271B24"/>
    <w:rsid w:val="465D0053"/>
    <w:rsid w:val="468567BB"/>
    <w:rsid w:val="4782487D"/>
    <w:rsid w:val="483002E2"/>
    <w:rsid w:val="4879128B"/>
    <w:rsid w:val="48C634C3"/>
    <w:rsid w:val="48D62926"/>
    <w:rsid w:val="49180694"/>
    <w:rsid w:val="49344560"/>
    <w:rsid w:val="495751DE"/>
    <w:rsid w:val="49B77EAC"/>
    <w:rsid w:val="49C6776A"/>
    <w:rsid w:val="4AB820A2"/>
    <w:rsid w:val="4ABB39CC"/>
    <w:rsid w:val="4AD11442"/>
    <w:rsid w:val="4AE50A49"/>
    <w:rsid w:val="4B4F618D"/>
    <w:rsid w:val="4BAD0151"/>
    <w:rsid w:val="4C8F75A2"/>
    <w:rsid w:val="4CB701C3"/>
    <w:rsid w:val="4D973688"/>
    <w:rsid w:val="4E59452C"/>
    <w:rsid w:val="4E7B4035"/>
    <w:rsid w:val="4E8C008E"/>
    <w:rsid w:val="4FD14828"/>
    <w:rsid w:val="506A72A7"/>
    <w:rsid w:val="50771A9C"/>
    <w:rsid w:val="50F56550"/>
    <w:rsid w:val="51D57A6A"/>
    <w:rsid w:val="52EC23F5"/>
    <w:rsid w:val="532C5467"/>
    <w:rsid w:val="53706852"/>
    <w:rsid w:val="53854CE8"/>
    <w:rsid w:val="53BF0A7B"/>
    <w:rsid w:val="5455382C"/>
    <w:rsid w:val="545E542E"/>
    <w:rsid w:val="566B5FD6"/>
    <w:rsid w:val="568C0876"/>
    <w:rsid w:val="56A53892"/>
    <w:rsid w:val="5728175E"/>
    <w:rsid w:val="572D64B0"/>
    <w:rsid w:val="5734171E"/>
    <w:rsid w:val="57C512E5"/>
    <w:rsid w:val="580B5743"/>
    <w:rsid w:val="586B0701"/>
    <w:rsid w:val="58AB32D2"/>
    <w:rsid w:val="58BD4DB3"/>
    <w:rsid w:val="59710D46"/>
    <w:rsid w:val="59CC068D"/>
    <w:rsid w:val="5A6223A5"/>
    <w:rsid w:val="5B243E89"/>
    <w:rsid w:val="5B5A4B3C"/>
    <w:rsid w:val="5B800F26"/>
    <w:rsid w:val="5BCC6458"/>
    <w:rsid w:val="5C124930"/>
    <w:rsid w:val="5C4A7838"/>
    <w:rsid w:val="5C9A22F9"/>
    <w:rsid w:val="5DBF13D4"/>
    <w:rsid w:val="5E40270F"/>
    <w:rsid w:val="5E543889"/>
    <w:rsid w:val="5EB9456E"/>
    <w:rsid w:val="5EFC3EB9"/>
    <w:rsid w:val="5F796A42"/>
    <w:rsid w:val="60605BAC"/>
    <w:rsid w:val="60C53B7A"/>
    <w:rsid w:val="60D602FB"/>
    <w:rsid w:val="60D92922"/>
    <w:rsid w:val="60DE30BD"/>
    <w:rsid w:val="60E308E3"/>
    <w:rsid w:val="611E37D0"/>
    <w:rsid w:val="62330506"/>
    <w:rsid w:val="62515B87"/>
    <w:rsid w:val="62AB1B1D"/>
    <w:rsid w:val="62C51434"/>
    <w:rsid w:val="632E2511"/>
    <w:rsid w:val="63553057"/>
    <w:rsid w:val="63A9427A"/>
    <w:rsid w:val="63AB062A"/>
    <w:rsid w:val="63CC2581"/>
    <w:rsid w:val="63D462B1"/>
    <w:rsid w:val="641A3596"/>
    <w:rsid w:val="647C6435"/>
    <w:rsid w:val="65770634"/>
    <w:rsid w:val="65E40ADA"/>
    <w:rsid w:val="66330B86"/>
    <w:rsid w:val="66422221"/>
    <w:rsid w:val="664803B2"/>
    <w:rsid w:val="66A70F60"/>
    <w:rsid w:val="66E22203"/>
    <w:rsid w:val="66E87583"/>
    <w:rsid w:val="67133952"/>
    <w:rsid w:val="67330CCC"/>
    <w:rsid w:val="67C95196"/>
    <w:rsid w:val="68B101CC"/>
    <w:rsid w:val="690C2243"/>
    <w:rsid w:val="69A7257C"/>
    <w:rsid w:val="69D50CF4"/>
    <w:rsid w:val="69DD3507"/>
    <w:rsid w:val="6AA97CAB"/>
    <w:rsid w:val="6AD401BA"/>
    <w:rsid w:val="6C487AFD"/>
    <w:rsid w:val="6CB24363"/>
    <w:rsid w:val="6DA52693"/>
    <w:rsid w:val="6DE728CA"/>
    <w:rsid w:val="6F9B5CDF"/>
    <w:rsid w:val="6FA23F69"/>
    <w:rsid w:val="6FCF0795"/>
    <w:rsid w:val="70076B11"/>
    <w:rsid w:val="70480305"/>
    <w:rsid w:val="70A91E26"/>
    <w:rsid w:val="70E60EF4"/>
    <w:rsid w:val="71104836"/>
    <w:rsid w:val="71646B2B"/>
    <w:rsid w:val="71B12785"/>
    <w:rsid w:val="71CB7ED7"/>
    <w:rsid w:val="71E250B7"/>
    <w:rsid w:val="72D75444"/>
    <w:rsid w:val="72ED1754"/>
    <w:rsid w:val="73634FBB"/>
    <w:rsid w:val="74054476"/>
    <w:rsid w:val="741C016E"/>
    <w:rsid w:val="743E1047"/>
    <w:rsid w:val="745F66ED"/>
    <w:rsid w:val="752F0ACE"/>
    <w:rsid w:val="75306550"/>
    <w:rsid w:val="75331EE9"/>
    <w:rsid w:val="754D1D92"/>
    <w:rsid w:val="758A1FF2"/>
    <w:rsid w:val="75BD46DB"/>
    <w:rsid w:val="76536663"/>
    <w:rsid w:val="77933457"/>
    <w:rsid w:val="77F474AF"/>
    <w:rsid w:val="78202D4E"/>
    <w:rsid w:val="78273E08"/>
    <w:rsid w:val="78493763"/>
    <w:rsid w:val="78C66E03"/>
    <w:rsid w:val="78E44CAE"/>
    <w:rsid w:val="79967A89"/>
    <w:rsid w:val="79EE0E19"/>
    <w:rsid w:val="79F0530A"/>
    <w:rsid w:val="7A28257D"/>
    <w:rsid w:val="7B550DA5"/>
    <w:rsid w:val="7B5F74F8"/>
    <w:rsid w:val="7B690630"/>
    <w:rsid w:val="7B975062"/>
    <w:rsid w:val="7BA4104A"/>
    <w:rsid w:val="7BB6153E"/>
    <w:rsid w:val="7BB816DF"/>
    <w:rsid w:val="7CE74C9B"/>
    <w:rsid w:val="7CF47CCC"/>
    <w:rsid w:val="7D040AB6"/>
    <w:rsid w:val="7D4119E6"/>
    <w:rsid w:val="7D9A0E89"/>
    <w:rsid w:val="7DBE2B71"/>
    <w:rsid w:val="7E2E0BED"/>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basedOn w:val="1"/>
    <w:next w:val="1"/>
    <w:link w:val="44"/>
    <w:qFormat/>
    <w:uiPriority w:val="0"/>
    <w:pPr>
      <w:numPr>
        <w:ilvl w:val="0"/>
        <w:numId w:val="2"/>
      </w:numPr>
      <w:autoSpaceDE w:val="0"/>
      <w:autoSpaceDN w:val="0"/>
      <w:adjustRightInd w:val="0"/>
      <w:spacing w:line="360" w:lineRule="auto"/>
      <w:ind w:left="0"/>
      <w:jc w:val="center"/>
      <w:outlineLvl w:val="1"/>
    </w:pPr>
    <w:rPr>
      <w:rFonts w:ascii="Times New Roman" w:hAnsi="Times New Roman" w:eastAsia="仿宋" w:cs="Times New Roman"/>
      <w:b/>
      <w:sz w:val="32"/>
      <w:lang w:val="en-US" w:eastAsia="zh-CN" w:bidi="ar-SA"/>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unhideWhenUsed/>
    <w:qFormat/>
    <w:uiPriority w:val="99"/>
    <w:pPr>
      <w:ind w:left="2940" w:leftChars="1400" w:right="320"/>
    </w:pPr>
  </w:style>
  <w:style w:type="paragraph" w:styleId="6">
    <w:name w:val="Normal Indent"/>
    <w:basedOn w:val="1"/>
    <w:next w:val="1"/>
    <w:qFormat/>
    <w:uiPriority w:val="0"/>
    <w:pPr>
      <w:ind w:firstLine="420" w:firstLineChars="200"/>
    </w:pPr>
    <w:rPr>
      <w:kern w:val="0"/>
      <w:sz w:val="24"/>
      <w:szCs w:val="20"/>
    </w:rPr>
  </w:style>
  <w:style w:type="paragraph" w:styleId="7">
    <w:name w:val="toa heading"/>
    <w:basedOn w:val="1"/>
    <w:next w:val="1"/>
    <w:unhideWhenUsed/>
    <w:qFormat/>
    <w:uiPriority w:val="99"/>
    <w:pPr>
      <w:spacing w:before="120"/>
    </w:pPr>
    <w:rPr>
      <w:rFonts w:asciiTheme="majorHAnsi" w:hAnsiTheme="majorHAnsi" w:eastAsiaTheme="majorEastAsia" w:cstheme="majorBidi"/>
    </w:rPr>
  </w:style>
  <w:style w:type="paragraph" w:styleId="8">
    <w:name w:val="annotation text"/>
    <w:basedOn w:val="1"/>
    <w:link w:val="41"/>
    <w:qFormat/>
    <w:uiPriority w:val="0"/>
    <w:pPr>
      <w:jc w:val="left"/>
    </w:pPr>
  </w:style>
  <w:style w:type="paragraph" w:styleId="9">
    <w:name w:val="Body Text 3"/>
    <w:basedOn w:val="1"/>
    <w:unhideWhenUsed/>
    <w:qFormat/>
    <w:uiPriority w:val="0"/>
    <w:pPr>
      <w:spacing w:after="120"/>
    </w:pPr>
    <w:rPr>
      <w:sz w:val="16"/>
      <w:szCs w:val="16"/>
    </w:rPr>
  </w:style>
  <w:style w:type="paragraph" w:styleId="10">
    <w:name w:val="Body Text"/>
    <w:basedOn w:val="1"/>
    <w:next w:val="5"/>
    <w:qFormat/>
    <w:uiPriority w:val="0"/>
    <w:pPr>
      <w:spacing w:after="120"/>
    </w:pPr>
  </w:style>
  <w:style w:type="paragraph" w:styleId="11">
    <w:name w:val="Body Text Indent"/>
    <w:basedOn w:val="1"/>
    <w:unhideWhenUsed/>
    <w:qFormat/>
    <w:uiPriority w:val="99"/>
    <w:pPr>
      <w:ind w:firstLine="630"/>
    </w:pPr>
    <w:rPr>
      <w:rFonts w:ascii="Calibri"/>
      <w:sz w:val="32"/>
      <w:szCs w:val="20"/>
    </w:rPr>
  </w:style>
  <w:style w:type="paragraph" w:styleId="12">
    <w:name w:val="Body Text Indent 2"/>
    <w:basedOn w:val="1"/>
    <w:link w:val="36"/>
    <w:qFormat/>
    <w:uiPriority w:val="0"/>
    <w:pPr>
      <w:spacing w:after="120" w:line="480" w:lineRule="auto"/>
      <w:ind w:left="420" w:leftChars="200"/>
    </w:pPr>
    <w:rPr>
      <w:szCs w:val="20"/>
    </w:rPr>
  </w:style>
  <w:style w:type="paragraph" w:styleId="13">
    <w:name w:val="Balloon Text"/>
    <w:basedOn w:val="1"/>
    <w:link w:val="43"/>
    <w:qFormat/>
    <w:uiPriority w:val="0"/>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rPr>
      <w:rFonts w:ascii="Arial" w:hAnsi="Arial"/>
    </w:rPr>
  </w:style>
  <w:style w:type="paragraph" w:styleId="16">
    <w:name w:val="header"/>
    <w:basedOn w:val="1"/>
    <w:next w:val="10"/>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Body Text 2"/>
    <w:basedOn w:val="1"/>
    <w:unhideWhenUsed/>
    <w:qFormat/>
    <w:uiPriority w:val="99"/>
    <w:pPr>
      <w:widowControl/>
      <w:spacing w:after="120" w:line="480" w:lineRule="auto"/>
    </w:pPr>
  </w:style>
  <w:style w:type="paragraph" w:styleId="19">
    <w:name w:val="annotation subject"/>
    <w:basedOn w:val="8"/>
    <w:next w:val="8"/>
    <w:link w:val="42"/>
    <w:qFormat/>
    <w:uiPriority w:val="0"/>
    <w:rPr>
      <w:b/>
      <w:bCs/>
    </w:rPr>
  </w:style>
  <w:style w:type="paragraph" w:styleId="20">
    <w:name w:val="Body Text First Indent"/>
    <w:basedOn w:val="10"/>
    <w:link w:val="37"/>
    <w:qFormat/>
    <w:uiPriority w:val="0"/>
    <w:pPr>
      <w:snapToGrid w:val="0"/>
      <w:spacing w:before="40" w:after="40" w:line="288" w:lineRule="auto"/>
      <w:ind w:firstLine="482"/>
    </w:pPr>
    <w:rPr>
      <w:rFonts w:ascii="仿宋_GB2312" w:hAnsi="仿宋_GB2312" w:eastAsia="仿宋_GB2312"/>
      <w:szCs w:val="20"/>
    </w:rPr>
  </w:style>
  <w:style w:type="paragraph" w:styleId="21">
    <w:name w:val="Body Text First Indent 2"/>
    <w:basedOn w:val="11"/>
    <w:next w:val="1"/>
    <w:link w:val="40"/>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qFormat/>
    <w:uiPriority w:val="0"/>
    <w:rPr>
      <w:color w:val="0000FF"/>
      <w:u w:val="single"/>
    </w:rPr>
  </w:style>
  <w:style w:type="character" w:styleId="26">
    <w:name w:val="annotation reference"/>
    <w:basedOn w:val="24"/>
    <w:qFormat/>
    <w:uiPriority w:val="0"/>
    <w:rPr>
      <w:sz w:val="21"/>
      <w:szCs w:val="21"/>
    </w:rPr>
  </w:style>
  <w:style w:type="paragraph" w:customStyle="1" w:styleId="27">
    <w:name w:val="Default"/>
    <w:next w:val="2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大标题"/>
    <w:basedOn w:val="1"/>
    <w:next w:val="21"/>
    <w:qFormat/>
    <w:uiPriority w:val="0"/>
    <w:pPr>
      <w:jc w:val="center"/>
    </w:pPr>
    <w:rPr>
      <w:rFonts w:ascii="Arial" w:hAnsi="Arial" w:eastAsia="宋体"/>
      <w:b/>
      <w:sz w:val="28"/>
      <w:szCs w:val="24"/>
    </w:rPr>
  </w:style>
  <w:style w:type="paragraph" w:customStyle="1" w:styleId="29">
    <w:name w:val="标题 5（有编号）（绿盟科技）"/>
    <w:basedOn w:val="30"/>
    <w:next w:val="31"/>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2">
    <w:name w:val="13、表格内居中正文"/>
    <w:basedOn w:val="1"/>
    <w:qFormat/>
    <w:uiPriority w:val="0"/>
    <w:pPr>
      <w:wordWrap w:val="0"/>
      <w:topLinePunct/>
      <w:spacing w:line="360" w:lineRule="exact"/>
      <w:jc w:val="center"/>
    </w:pPr>
    <w:rPr>
      <w:rFonts w:ascii="宋体" w:hAnsi="宋体" w:eastAsia="宋体"/>
    </w:rPr>
  </w:style>
  <w:style w:type="paragraph" w:customStyle="1" w:styleId="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4">
    <w:name w:val="List Paragraph"/>
    <w:basedOn w:val="1"/>
    <w:qFormat/>
    <w:uiPriority w:val="0"/>
    <w:pPr>
      <w:spacing w:line="500" w:lineRule="exact"/>
      <w:ind w:firstLine="420" w:firstLineChars="200"/>
    </w:pPr>
    <w:rPr>
      <w:szCs w:val="24"/>
    </w:rPr>
  </w:style>
  <w:style w:type="paragraph" w:customStyle="1" w:styleId="35">
    <w:name w:val="正文首行缩进两字符"/>
    <w:basedOn w:val="1"/>
    <w:qFormat/>
    <w:uiPriority w:val="0"/>
    <w:pPr>
      <w:spacing w:line="360" w:lineRule="auto"/>
      <w:ind w:firstLine="200" w:firstLineChars="200"/>
    </w:pPr>
  </w:style>
  <w:style w:type="character" w:customStyle="1" w:styleId="36">
    <w:name w:val="正文文本缩进 2 字符"/>
    <w:link w:val="12"/>
    <w:qFormat/>
    <w:uiPriority w:val="0"/>
    <w:rPr>
      <w:szCs w:val="20"/>
    </w:rPr>
  </w:style>
  <w:style w:type="character" w:customStyle="1" w:styleId="37">
    <w:name w:val="正文首行缩进 字符"/>
    <w:link w:val="20"/>
    <w:qFormat/>
    <w:uiPriority w:val="0"/>
    <w:rPr>
      <w:rFonts w:ascii="仿宋_GB2312" w:hAnsi="仿宋_GB2312" w:eastAsia="仿宋_GB2312"/>
      <w:szCs w:val="20"/>
    </w:rPr>
  </w:style>
  <w:style w:type="paragraph" w:customStyle="1" w:styleId="38">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9">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40">
    <w:name w:val="正文首行缩进 2 字符"/>
    <w:link w:val="21"/>
    <w:qFormat/>
    <w:uiPriority w:val="99"/>
    <w:rPr>
      <w:rFonts w:ascii="宋体" w:hAnsi="Times New Roman"/>
      <w:kern w:val="0"/>
      <w:sz w:val="21"/>
      <w:szCs w:val="24"/>
    </w:rPr>
  </w:style>
  <w:style w:type="character" w:customStyle="1" w:styleId="41">
    <w:name w:val="批注文字 字符"/>
    <w:basedOn w:val="24"/>
    <w:link w:val="8"/>
    <w:qFormat/>
    <w:uiPriority w:val="0"/>
    <w:rPr>
      <w:kern w:val="2"/>
      <w:sz w:val="21"/>
      <w:szCs w:val="22"/>
    </w:rPr>
  </w:style>
  <w:style w:type="character" w:customStyle="1" w:styleId="42">
    <w:name w:val="批注主题 字符"/>
    <w:basedOn w:val="41"/>
    <w:link w:val="19"/>
    <w:qFormat/>
    <w:uiPriority w:val="0"/>
    <w:rPr>
      <w:b/>
      <w:bCs/>
      <w:kern w:val="2"/>
      <w:sz w:val="21"/>
      <w:szCs w:val="22"/>
    </w:rPr>
  </w:style>
  <w:style w:type="character" w:customStyle="1" w:styleId="43">
    <w:name w:val="批注框文本 字符"/>
    <w:basedOn w:val="24"/>
    <w:link w:val="13"/>
    <w:qFormat/>
    <w:uiPriority w:val="0"/>
    <w:rPr>
      <w:kern w:val="2"/>
      <w:sz w:val="18"/>
      <w:szCs w:val="18"/>
    </w:rPr>
  </w:style>
  <w:style w:type="character" w:customStyle="1" w:styleId="44">
    <w:name w:val="标题 2 字符"/>
    <w:link w:val="3"/>
    <w:qFormat/>
    <w:uiPriority w:val="0"/>
    <w:rPr>
      <w:rFonts w:ascii="Times New Roman" w:hAnsi="Times New Roman" w:eastAsia="仿宋" w:cs="Times New Roman"/>
      <w:b/>
      <w:sz w:val="32"/>
    </w:rPr>
  </w:style>
  <w:style w:type="paragraph" w:customStyle="1" w:styleId="45">
    <w:name w:val="_Style 2"/>
    <w:basedOn w:val="1"/>
    <w:qFormat/>
    <w:uiPriority w:val="0"/>
    <w:pPr>
      <w:ind w:firstLine="420" w:firstLineChars="200"/>
    </w:pPr>
    <w:rPr>
      <w:sz w:val="18"/>
      <w:szCs w:val="18"/>
    </w:rPr>
  </w:style>
  <w:style w:type="paragraph" w:styleId="46">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7">
    <w:name w:val="列出段落1"/>
    <w:basedOn w:val="1"/>
    <w:qFormat/>
    <w:uiPriority w:val="0"/>
    <w:pPr>
      <w:ind w:firstLine="420" w:firstLineChars="200"/>
    </w:pPr>
    <w:rPr>
      <w:rFonts w:ascii="Times New Roman" w:hAnsi="Times New Roman" w:eastAsia="宋体" w:cs="Times New Roman"/>
      <w:szCs w:val="20"/>
    </w:rPr>
  </w:style>
  <w:style w:type="character" w:customStyle="1" w:styleId="48">
    <w:name w:val="页脚 字符"/>
    <w:basedOn w:val="24"/>
    <w:link w:val="14"/>
    <w:qFormat/>
    <w:uiPriority w:val="99"/>
    <w:rPr>
      <w:rFonts w:asciiTheme="minorHAnsi" w:hAnsiTheme="minorHAnsi" w:eastAsiaTheme="minorEastAsia" w:cstheme="minorBidi"/>
      <w:kern w:val="2"/>
      <w:sz w:val="18"/>
      <w:szCs w:val="18"/>
    </w:rPr>
  </w:style>
  <w:style w:type="character" w:customStyle="1" w:styleId="49">
    <w:name w:val="页眉 字符"/>
    <w:basedOn w:val="24"/>
    <w:link w:val="16"/>
    <w:qFormat/>
    <w:uiPriority w:val="99"/>
    <w:rPr>
      <w:rFonts w:asciiTheme="minorHAnsi" w:hAnsiTheme="minorHAnsi" w:eastAsiaTheme="minorEastAsia" w:cstheme="minorBidi"/>
      <w:kern w:val="2"/>
      <w:sz w:val="18"/>
      <w:szCs w:val="18"/>
    </w:rPr>
  </w:style>
  <w:style w:type="paragraph" w:customStyle="1" w:styleId="50">
    <w:name w:val="列表段落1"/>
    <w:basedOn w:val="1"/>
    <w:autoRedefine/>
    <w:qFormat/>
    <w:uiPriority w:val="34"/>
    <w:pPr>
      <w:ind w:firstLine="420" w:firstLineChars="200"/>
    </w:pPr>
  </w:style>
  <w:style w:type="paragraph" w:customStyle="1" w:styleId="51">
    <w:name w:val="正 文"/>
    <w:basedOn w:val="1"/>
    <w:autoRedefine/>
    <w:qFormat/>
    <w:uiPriority w:val="0"/>
    <w:pPr>
      <w:widowControl/>
      <w:adjustRightInd w:val="0"/>
      <w:spacing w:line="360" w:lineRule="auto"/>
      <w:ind w:firstLine="480" w:firstLineChars="200"/>
      <w:jc w:val="left"/>
      <w:textAlignment w:val="baseline"/>
    </w:pPr>
    <w:rPr>
      <w:rFonts w:ascii="Calibri" w:hAnsi="Calibri" w:eastAsia="宋体" w:cs="Times New Roman"/>
      <w:kern w:val="0"/>
      <w:sz w:val="24"/>
      <w:szCs w:val="32"/>
      <w:lang w:val="zh-CN" w:eastAsia="en-US" w:bidi="en-US"/>
    </w:rPr>
  </w:style>
  <w:style w:type="paragraph" w:customStyle="1" w:styleId="52">
    <w:name w:val="正文空2字"/>
    <w:basedOn w:val="18"/>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 w:type="paragraph" w:styleId="5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正文"/>
    <w:basedOn w:val="1"/>
    <w:next w:val="1"/>
    <w:qFormat/>
    <w:uiPriority w:val="0"/>
    <w:pPr>
      <w:spacing w:line="360" w:lineRule="auto"/>
      <w:ind w:firstLine="480" w:firstLineChars="200"/>
      <w:jc w:val="center"/>
    </w:pPr>
    <w:rPr>
      <w:rFonts w:ascii="Times New Roman" w:hAnsi="Times New Roman" w:eastAsia="微软雅黑" w:cs="Times New Roman"/>
      <w:sz w:val="24"/>
      <w:szCs w:val="21"/>
    </w:rPr>
  </w:style>
  <w:style w:type="paragraph" w:customStyle="1" w:styleId="55">
    <w:name w:val="null3"/>
    <w:qFormat/>
    <w:uiPriority w:val="0"/>
    <w:rPr>
      <w:rFonts w:hint="eastAsia" w:ascii="Calibri" w:hAnsi="Calibri" w:eastAsia="宋体" w:cs="Times New Roman"/>
      <w:lang w:val="en-US" w:eastAsia="zh-Hans" w:bidi="ar-SA"/>
    </w:rPr>
  </w:style>
  <w:style w:type="paragraph" w:customStyle="1" w:styleId="56">
    <w:name w:val="标书_表格正文"/>
    <w:autoRedefine/>
    <w:qFormat/>
    <w:uiPriority w:val="0"/>
    <w:rPr>
      <w:rFonts w:ascii="宋体" w:hAnsi="宋体" w:eastAsia="宋体" w:cstheme="minorBidi"/>
      <w:kern w:val="2"/>
      <w:sz w:val="21"/>
      <w:szCs w:val="21"/>
      <w:lang w:val="en-US" w:eastAsia="zh-CN" w:bidi="ar-SA"/>
    </w:rPr>
  </w:style>
  <w:style w:type="character" w:customStyle="1" w:styleId="57">
    <w:name w:val="font11"/>
    <w:basedOn w:val="24"/>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26F8F-E177-480E-AB47-C4A9EA9D352C}">
  <ds:schemaRefs/>
</ds:datastoreItem>
</file>

<file path=docProps/app.xml><?xml version="1.0" encoding="utf-8"?>
<Properties xmlns="http://schemas.openxmlformats.org/officeDocument/2006/extended-properties" xmlns:vt="http://schemas.openxmlformats.org/officeDocument/2006/docPropsVTypes">
  <Template>Normal</Template>
  <Pages>29</Pages>
  <Words>1415</Words>
  <Characters>1491</Characters>
  <Lines>60</Lines>
  <Paragraphs>16</Paragraphs>
  <TotalTime>39</TotalTime>
  <ScaleCrop>false</ScaleCrop>
  <LinksUpToDate>false</LinksUpToDate>
  <CharactersWithSpaces>1577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2024-08-13T08:16:00Z</dcterms:created>
  <dc:creator>7</dc:creator>
  <cp:lastModifiedBy>Yyh</cp:lastModifiedBy>
  <cp:lastPrinted>2025-07-22T06:19:00Z</cp:lastPrinted>
  <dcterms:modified xsi:type="dcterms:W3CDTF">2026-06-01T07:03:39Z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0D52640C0A224946809EE62587873B4B_13</vt:lpwstr>
  </property>
  <property fmtid="{D5CDD505-2E9C-101B-9397-08002B2CF9AE}" pid="4" name="KSOTemplateDocerSaveRecord">
    <vt:lpwstr>eyJoZGlkIjoiMGVhNTY2M2EwZDMyZTE0NTZiN2UxNDUzN2E2YmY2OTIiLCJ1c2VySWQiOiI2NzcyOTQ5MDQifQ==</vt:lpwstr>
  </property>
</Properties>
</file>