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123号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飞点扫描准分子激光系统维保服务</w:t>
      </w: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1540" w:firstLineChars="700"/>
              <w:rPr>
                <w:rFonts w:hint="eastAsia" w:ascii="仿宋" w:hAnsi="仿宋" w:eastAsia="仿宋" w:cs="仿宋"/>
                <w:sz w:val="22"/>
              </w:rPr>
            </w:pPr>
            <w:r>
              <w:rPr>
                <w:rFonts w:hint="eastAsia" w:ascii="仿宋" w:hAnsi="仿宋" w:eastAsia="仿宋" w:cs="仿宋"/>
                <w:sz w:val="22"/>
                <w:lang w:val="en-US" w:eastAsia="zh-CN"/>
              </w:rPr>
              <w:t>飞点扫描准分子激光系统维保服务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6）123号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14.9万元/年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王老师 18381660895</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B45215A">
            <w:pPr>
              <w:numPr>
                <w:ilvl w:val="0"/>
                <w:numId w:val="0"/>
              </w:numPr>
              <w:ind w:leftChars="0"/>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3AC38B18">
      <w:pPr>
        <w:keepNext w:val="0"/>
        <w:keepLines w:val="0"/>
        <w:widowControl/>
        <w:suppressLineNumbers w:val="0"/>
        <w:ind w:firstLine="560" w:firstLineChars="200"/>
        <w:jc w:val="left"/>
        <w:rPr>
          <w:rFonts w:hint="default"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绵阳市中心医院眼科因业务工作需要，需购买飞点扫描准分子激光系统维保服务。</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7199B3AE">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1、供应商提供德国鹰视（ALLEGRETTOWAVEEye）准分子激光设备全包维保，包含全周期维修保养、检测调试、故障处理、配件更换、技术指导、巡检归档等全部工作。服务相关人工、配件、差旅、技术升级等所有费用均含于合同价款，医院无需额外付费。</w:t>
      </w:r>
    </w:p>
    <w:p w14:paraId="48ED5AF3">
      <w:pPr>
        <w:keepNext w:val="0"/>
        <w:keepLines w:val="0"/>
        <w:widowControl/>
        <w:numPr>
          <w:ilvl w:val="0"/>
          <w:numId w:val="0"/>
        </w:numPr>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2、供应商按照原厂技术规范与医疗质控标准开展维保作业，完成整机清洁除尘、部件检修、参数调试、隐患排查等养护工作，确保设备运行符合原厂标准；同时每季度按照说明书进行一次巡检，核查设备工况与参数稳定性，及时排查故障风险。</w:t>
      </w:r>
    </w:p>
    <w:p w14:paraId="52B6E11D">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3、服务期内，设备所有零配件出现老化、损坏、性能衰减等问题，供应商需免费无条件更换原厂全新配件。</w:t>
      </w:r>
    </w:p>
    <w:p w14:paraId="1ED5B24A">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4、主动跟进设备日常运行情况，收集科室使用反馈，及时解答日常使用疑问，全程记录回访及巡检数据，形成完整运维台账。</w:t>
      </w:r>
    </w:p>
    <w:p w14:paraId="54C1832F">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5、设备报修后，供应商1小时内完成电话响应，远程指导排查故障、解答技术问题。</w:t>
      </w:r>
    </w:p>
    <w:p w14:paraId="32CA42C7">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6、无法远程解决的故障，24小时内安排工程师抵达</w:t>
      </w:r>
      <w:r>
        <w:rPr>
          <w:rFonts w:hint="eastAsia" w:ascii="仿宋" w:hAnsi="仿宋" w:eastAsia="仿宋" w:cs="仿宋"/>
          <w:kern w:val="0"/>
          <w:sz w:val="28"/>
          <w:szCs w:val="28"/>
          <w:lang w:val="en-US" w:eastAsia="zh-CN" w:bidi="ar"/>
        </w:rPr>
        <w:t>医院</w:t>
      </w:r>
      <w:r>
        <w:rPr>
          <w:rFonts w:hint="eastAsia" w:ascii="仿宋" w:hAnsi="仿宋" w:eastAsia="仿宋" w:cs="仿宋"/>
          <w:b w:val="0"/>
          <w:bCs w:val="0"/>
          <w:kern w:val="0"/>
          <w:sz w:val="28"/>
          <w:szCs w:val="28"/>
          <w:lang w:val="en-US" w:eastAsia="zh-CN" w:bidi="ar"/>
        </w:rPr>
        <w:t>现场开展维修抢修工作，若需更换备件，72小时内维修完毕，超过72小时无法修复的需提前书面告知医学装备科及使用科室。</w:t>
      </w:r>
    </w:p>
    <w:p w14:paraId="5679C976">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7、以全年365个工作日为核算基准，设备年度开机率≥95%，保障临床诊疗工作正常开展。若因设备故障、维保不到位等供应商原因导致设备开机率低于约定标准，每停机1个自然工作日，设备整体保修期自动顺延5个工作日。</w:t>
      </w:r>
    </w:p>
    <w:p w14:paraId="7F3E2F3D">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8、单次维保服务完成后，即时出具详细维保清单，内容包含设备安全检查记录、性能检测数据、故障排查情况、配件更换明细、参数校准数据，需经医院相关人员签字确认归档。</w:t>
      </w:r>
    </w:p>
    <w:p w14:paraId="7A1D30E0">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9、每半年整理装订成册的全套维护保养报告，汇总阶段性巡检、保养、维修、校准、故障处理等所有数据资料，提交医院存档。</w:t>
      </w:r>
    </w:p>
    <w:p w14:paraId="45059BF2">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10、供应商开展远程运维、系统升级、现场维保等所有服务工作时，需严格遵守医院信息安全管理制度，全面负责医院设备数据安全、信息安全。若因供应商操作不当、技术失误造成医院数据泄露、系统故障、设备损坏或其他经济损失，由供应商承担全部责任并全额赔偿。</w:t>
      </w:r>
    </w:p>
    <w:p w14:paraId="1141E5CA">
      <w:pPr>
        <w:keepNext w:val="0"/>
        <w:keepLines w:val="0"/>
        <w:widowControl/>
        <w:suppressLineNumbers w:val="0"/>
        <w:jc w:val="left"/>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11、供应商需具备完善的国内备件保障体系，设立国内备件库，保障各类配件充足储备、快速调配。</w:t>
      </w:r>
    </w:p>
    <w:p w14:paraId="418190E8">
      <w:pPr>
        <w:numPr>
          <w:ilvl w:val="0"/>
          <w:numId w:val="0"/>
        </w:numPr>
        <w:spacing w:line="360" w:lineRule="auto"/>
        <w:ind w:leftChars="0"/>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12、中标供应商维保期内需免费提供该设备使用所需的氟化氩气体、测试片消耗品。</w:t>
      </w:r>
    </w:p>
    <w:p w14:paraId="2DA4A1FB">
      <w:pPr>
        <w:numPr>
          <w:ilvl w:val="0"/>
          <w:numId w:val="0"/>
        </w:numPr>
        <w:spacing w:line="360" w:lineRule="auto"/>
        <w:ind w:leftChars="0"/>
        <w:rPr>
          <w:rFonts w:hint="eastAsia" w:ascii="仿宋" w:hAnsi="仿宋" w:eastAsia="仿宋" w:cs="仿宋"/>
          <w:b w:val="0"/>
          <w:bCs w:val="0"/>
          <w:kern w:val="0"/>
          <w:sz w:val="28"/>
          <w:szCs w:val="28"/>
          <w:lang w:val="en-US" w:eastAsia="zh-CN" w:bidi="ar"/>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C0DB63F">
      <w:pPr>
        <w:widowControl/>
        <w:spacing w:after="30" w:line="360" w:lineRule="auto"/>
        <w:ind w:right="105" w:rightChars="50"/>
        <w:jc w:val="left"/>
        <w:rPr>
          <w:rFonts w:ascii="仿宋" w:hAnsi="仿宋" w:eastAsia="仿宋" w:cs="仿宋"/>
          <w:b/>
          <w:color w:val="0D0D0D"/>
          <w:kern w:val="0"/>
          <w:sz w:val="24"/>
          <w:szCs w:val="20"/>
        </w:rPr>
      </w:pPr>
      <w:r>
        <w:rPr>
          <w:rFonts w:hint="eastAsia" w:ascii="仿宋" w:hAnsi="仿宋" w:eastAsia="仿宋" w:cs="仿宋"/>
          <w:b/>
          <w:color w:val="0D0D0D"/>
          <w:kern w:val="0"/>
          <w:sz w:val="24"/>
          <w:szCs w:val="20"/>
        </w:rPr>
        <w:t>1.服务期及地点：</w:t>
      </w:r>
    </w:p>
    <w:p w14:paraId="1FA0C6C7">
      <w:pPr>
        <w:widowControl/>
        <w:adjustRightInd w:val="0"/>
        <w:snapToGrid w:val="0"/>
        <w:spacing w:line="360" w:lineRule="auto"/>
        <w:jc w:val="left"/>
        <w:rPr>
          <w:rFonts w:hint="default"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rPr>
        <w:t>1.1服务时限：</w:t>
      </w:r>
      <w:r>
        <w:rPr>
          <w:rFonts w:hint="eastAsia" w:ascii="仿宋" w:hAnsi="仿宋" w:eastAsia="仿宋" w:cs="仿宋"/>
          <w:color w:val="0D0D0D"/>
          <w:kern w:val="0"/>
          <w:sz w:val="28"/>
          <w:szCs w:val="28"/>
          <w:lang w:val="en-US" w:eastAsia="zh-CN"/>
        </w:rPr>
        <w:t>服务期三年。</w:t>
      </w:r>
    </w:p>
    <w:p w14:paraId="523B5095">
      <w:pPr>
        <w:widowControl/>
        <w:adjustRightInd w:val="0"/>
        <w:snapToGrid w:val="0"/>
        <w:spacing w:line="360" w:lineRule="auto"/>
        <w:jc w:val="left"/>
        <w:rPr>
          <w:rFonts w:ascii="仿宋" w:hAnsi="仿宋" w:eastAsia="仿宋" w:cs="仿宋"/>
          <w:color w:val="0D0D0D"/>
          <w:kern w:val="0"/>
          <w:sz w:val="28"/>
          <w:szCs w:val="28"/>
        </w:rPr>
      </w:pPr>
      <w:r>
        <w:rPr>
          <w:rFonts w:hint="eastAsia" w:ascii="仿宋" w:hAnsi="仿宋" w:eastAsia="仿宋" w:cs="仿宋"/>
          <w:color w:val="0D0D0D"/>
          <w:kern w:val="0"/>
          <w:sz w:val="28"/>
          <w:szCs w:val="28"/>
        </w:rPr>
        <w:t>1.2服务地点：绵阳市中心医院。</w:t>
      </w:r>
    </w:p>
    <w:p w14:paraId="0AA4B0E4">
      <w:pPr>
        <w:widowControl/>
        <w:spacing w:after="30" w:line="360" w:lineRule="auto"/>
        <w:ind w:right="105" w:rightChars="50"/>
        <w:jc w:val="left"/>
        <w:rPr>
          <w:rFonts w:ascii="仿宋" w:hAnsi="仿宋" w:eastAsia="仿宋" w:cs="仿宋"/>
          <w:b/>
          <w:color w:val="0D0D0D"/>
          <w:kern w:val="0"/>
          <w:sz w:val="24"/>
          <w:szCs w:val="20"/>
        </w:rPr>
      </w:pPr>
      <w:r>
        <w:rPr>
          <w:rFonts w:hint="eastAsia" w:ascii="仿宋" w:hAnsi="仿宋" w:eastAsia="仿宋" w:cs="仿宋"/>
          <w:b/>
          <w:color w:val="0D0D0D"/>
          <w:kern w:val="0"/>
          <w:sz w:val="24"/>
          <w:szCs w:val="20"/>
        </w:rPr>
        <w:t>2.付款方法和条件、支付方式：</w:t>
      </w:r>
    </w:p>
    <w:p w14:paraId="57374539">
      <w:pPr>
        <w:pStyle w:val="7"/>
        <w:numPr>
          <w:ilvl w:val="0"/>
          <w:numId w:val="0"/>
        </w:numPr>
        <w:spacing w:before="5" w:line="360" w:lineRule="auto"/>
        <w:ind w:right="144" w:rightChars="0"/>
        <w:rPr>
          <w:rFonts w:hint="eastAsia" w:ascii="仿宋" w:hAnsi="仿宋" w:eastAsia="仿宋" w:cs="仿宋"/>
          <w:color w:val="0D0D0D"/>
          <w:kern w:val="0"/>
          <w:sz w:val="28"/>
          <w:szCs w:val="28"/>
          <w:lang w:val="en-US" w:eastAsia="zh-CN" w:bidi="ar-SA"/>
        </w:rPr>
      </w:pPr>
      <w:r>
        <w:rPr>
          <w:rFonts w:hint="eastAsia" w:ascii="仿宋" w:hAnsi="仿宋" w:eastAsia="仿宋" w:cs="仿宋"/>
          <w:color w:val="0D0D0D"/>
          <w:kern w:val="0"/>
          <w:sz w:val="28"/>
          <w:szCs w:val="28"/>
        </w:rPr>
        <w:t>2.1付款方</w:t>
      </w:r>
      <w:r>
        <w:rPr>
          <w:rFonts w:hint="eastAsia" w:ascii="仿宋" w:hAnsi="仿宋" w:eastAsia="仿宋" w:cs="仿宋"/>
          <w:color w:val="0D0D0D"/>
          <w:kern w:val="0"/>
          <w:sz w:val="28"/>
          <w:szCs w:val="28"/>
          <w:lang w:val="en-US" w:eastAsia="zh-CN" w:bidi="ar-SA"/>
        </w:rPr>
        <w:t>法和条件：</w:t>
      </w:r>
    </w:p>
    <w:p w14:paraId="5F9CDA41">
      <w:pPr>
        <w:pStyle w:val="7"/>
        <w:numPr>
          <w:numId w:val="0"/>
        </w:numPr>
        <w:spacing w:before="5" w:line="360" w:lineRule="auto"/>
        <w:ind w:right="144" w:rightChars="0"/>
        <w:rPr>
          <w:rFonts w:hint="eastAsia" w:ascii="仿宋" w:hAnsi="仿宋" w:eastAsia="仿宋" w:cs="仿宋"/>
          <w:color w:val="0D0D0D"/>
          <w:kern w:val="0"/>
          <w:sz w:val="28"/>
          <w:szCs w:val="28"/>
          <w:lang w:val="en-US" w:eastAsia="zh-CN" w:bidi="ar-SA"/>
        </w:rPr>
      </w:pPr>
      <w:r>
        <w:rPr>
          <w:rFonts w:hint="eastAsia" w:ascii="仿宋" w:hAnsi="仿宋" w:eastAsia="仿宋" w:cs="仿宋"/>
          <w:color w:val="0D0D0D"/>
          <w:kern w:val="0"/>
          <w:sz w:val="28"/>
          <w:szCs w:val="28"/>
          <w:lang w:val="en-US" w:eastAsia="zh-CN" w:bidi="ar-SA"/>
        </w:rPr>
        <w:t>（1）服务费分两次付清，合同签订后服务满6个月经采购人验收合格后，达到付款条件起14日内，支付合同总金额的50%；</w:t>
      </w:r>
    </w:p>
    <w:p w14:paraId="48576063">
      <w:pPr>
        <w:pStyle w:val="7"/>
        <w:numPr>
          <w:numId w:val="0"/>
        </w:numPr>
        <w:spacing w:before="5" w:line="360" w:lineRule="auto"/>
        <w:ind w:right="144" w:rightChars="0"/>
        <w:rPr>
          <w:rFonts w:hint="eastAsia" w:ascii="Times New Roman" w:hAnsi="Times New Roman" w:eastAsia="宋体" w:cs="Times New Roman"/>
          <w:kern w:val="0"/>
          <w:sz w:val="24"/>
          <w:szCs w:val="24"/>
          <w:lang w:val="en-US" w:eastAsia="zh-CN" w:bidi="ar-SA"/>
        </w:rPr>
      </w:pPr>
      <w:r>
        <w:rPr>
          <w:rFonts w:hint="eastAsia" w:ascii="仿宋" w:hAnsi="仿宋" w:eastAsia="仿宋" w:cs="仿宋"/>
          <w:color w:val="0D0D0D"/>
          <w:kern w:val="0"/>
          <w:sz w:val="28"/>
          <w:szCs w:val="28"/>
          <w:lang w:val="en-US" w:eastAsia="zh-CN" w:bidi="ar-SA"/>
        </w:rPr>
        <w:t>（2）合同签订后服务满12个月经采购人验收合格后，达到付款条件起14日内，支付合同总金额的50%。</w:t>
      </w:r>
      <w:bookmarkStart w:id="78" w:name="_GoBack"/>
      <w:bookmarkEnd w:id="78"/>
    </w:p>
    <w:p w14:paraId="1F8C5DD4">
      <w:pPr>
        <w:widowControl/>
        <w:adjustRightInd w:val="0"/>
        <w:snapToGrid w:val="0"/>
        <w:spacing w:line="360" w:lineRule="auto"/>
        <w:jc w:val="left"/>
        <w:rPr>
          <w:rFonts w:ascii="仿宋" w:hAnsi="仿宋" w:eastAsia="仿宋" w:cs="仿宋"/>
          <w:color w:val="0D0D0D"/>
          <w:kern w:val="0"/>
          <w:sz w:val="28"/>
          <w:szCs w:val="28"/>
        </w:rPr>
      </w:pPr>
      <w:r>
        <w:rPr>
          <w:rFonts w:hint="eastAsia" w:ascii="仿宋" w:hAnsi="仿宋" w:eastAsia="仿宋" w:cs="仿宋"/>
          <w:color w:val="0D0D0D"/>
          <w:kern w:val="0"/>
          <w:sz w:val="28"/>
          <w:szCs w:val="28"/>
        </w:rPr>
        <w:t>2.</w:t>
      </w:r>
      <w:r>
        <w:rPr>
          <w:rFonts w:hint="eastAsia" w:ascii="仿宋" w:hAnsi="仿宋" w:eastAsia="仿宋" w:cs="仿宋"/>
          <w:color w:val="0D0D0D"/>
          <w:kern w:val="0"/>
          <w:sz w:val="28"/>
          <w:szCs w:val="28"/>
          <w:lang w:val="en-US" w:eastAsia="zh-CN"/>
        </w:rPr>
        <w:t>2</w:t>
      </w:r>
      <w:r>
        <w:rPr>
          <w:rFonts w:hint="eastAsia" w:ascii="仿宋" w:hAnsi="仿宋" w:eastAsia="仿宋" w:cs="仿宋"/>
          <w:color w:val="0D0D0D"/>
          <w:kern w:val="0"/>
          <w:sz w:val="28"/>
          <w:szCs w:val="28"/>
        </w:rPr>
        <w:t xml:space="preserve"> 支付方式：转账、电汇等非现金方式。</w:t>
      </w:r>
    </w:p>
    <w:p w14:paraId="12397480">
      <w:pPr>
        <w:pStyle w:val="16"/>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16"/>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9041"/>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1690"/>
      <w:bookmarkStart w:id="24" w:name="_Toc32749"/>
      <w:bookmarkStart w:id="25" w:name="_Toc2485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17905"/>
      <w:bookmarkStart w:id="28" w:name="_Toc3558"/>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7135"/>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19987"/>
      <w:bookmarkStart w:id="36" w:name="_Toc2031"/>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6029"/>
      <w:bookmarkStart w:id="40" w:name="_Toc21519"/>
      <w:bookmarkStart w:id="41" w:name="_Toc6482"/>
      <w:bookmarkStart w:id="42" w:name="_Toc11352"/>
      <w:bookmarkStart w:id="43" w:name="_Toc148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7"/>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7"/>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1838"/>
      <w:bookmarkStart w:id="46" w:name="_Toc22676"/>
      <w:bookmarkStart w:id="47" w:name="_Toc30971"/>
      <w:bookmarkStart w:id="48" w:name="_Toc4305"/>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7"/>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7"/>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11351"/>
      <w:bookmarkStart w:id="59" w:name="_Toc20589"/>
      <w:bookmarkStart w:id="60" w:name="_Toc25638"/>
      <w:bookmarkStart w:id="61" w:name="_Toc27661"/>
      <w:bookmarkStart w:id="62" w:name="_Toc15526"/>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7"/>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7"/>
        <w:snapToGrid w:val="0"/>
        <w:spacing w:after="0" w:line="500" w:lineRule="exact"/>
        <w:ind w:firstLine="480" w:firstLineChars="200"/>
        <w:rPr>
          <w:rFonts w:ascii="仿宋" w:hAnsi="仿宋" w:eastAsia="仿宋" w:cs="仿宋"/>
          <w:sz w:val="24"/>
        </w:rPr>
      </w:pPr>
    </w:p>
    <w:p w14:paraId="76287808">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16435"/>
      <w:bookmarkStart w:id="64" w:name="_Toc12967"/>
      <w:bookmarkStart w:id="65" w:name="_Toc26969"/>
      <w:bookmarkStart w:id="66" w:name="_Toc2041"/>
      <w:bookmarkStart w:id="67" w:name="_Toc1074"/>
      <w:bookmarkStart w:id="68" w:name="_Toc23967"/>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6"/>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6"/>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7"/>
        <w:rPr>
          <w:rFonts w:ascii="仿宋" w:hAnsi="仿宋" w:eastAsia="仿宋" w:cs="仿宋"/>
          <w:b/>
          <w:bCs/>
        </w:rPr>
      </w:pPr>
      <w:r>
        <w:rPr>
          <w:rFonts w:hint="eastAsia" w:ascii="仿宋" w:hAnsi="仿宋" w:eastAsia="仿宋" w:cs="仿宋"/>
          <w:b/>
          <w:bCs/>
        </w:rPr>
        <w:t>2.报价一览表</w:t>
      </w:r>
    </w:p>
    <w:tbl>
      <w:tblPr>
        <w:tblStyle w:val="19"/>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7"/>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7"/>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7"/>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7"/>
              <w:jc w:val="center"/>
              <w:rPr>
                <w:rFonts w:ascii="仿宋" w:hAnsi="仿宋" w:eastAsia="仿宋" w:cs="仿宋"/>
                <w:sz w:val="24"/>
                <w:szCs w:val="24"/>
              </w:rPr>
            </w:pPr>
          </w:p>
        </w:tc>
        <w:tc>
          <w:tcPr>
            <w:tcW w:w="2104" w:type="dxa"/>
            <w:vAlign w:val="center"/>
          </w:tcPr>
          <w:p w14:paraId="152F4F26">
            <w:pPr>
              <w:pStyle w:val="7"/>
              <w:jc w:val="center"/>
              <w:rPr>
                <w:rFonts w:ascii="仿宋" w:hAnsi="仿宋" w:eastAsia="仿宋" w:cs="仿宋"/>
                <w:sz w:val="24"/>
                <w:szCs w:val="24"/>
              </w:rPr>
            </w:pPr>
          </w:p>
        </w:tc>
        <w:tc>
          <w:tcPr>
            <w:tcW w:w="2104" w:type="dxa"/>
            <w:vAlign w:val="center"/>
          </w:tcPr>
          <w:p w14:paraId="7EBC2981">
            <w:pPr>
              <w:pStyle w:val="7"/>
              <w:jc w:val="center"/>
              <w:rPr>
                <w:rFonts w:ascii="仿宋" w:hAnsi="仿宋" w:eastAsia="仿宋" w:cs="仿宋"/>
                <w:sz w:val="24"/>
                <w:szCs w:val="24"/>
              </w:rPr>
            </w:pPr>
          </w:p>
        </w:tc>
        <w:tc>
          <w:tcPr>
            <w:tcW w:w="2104" w:type="dxa"/>
            <w:vAlign w:val="center"/>
          </w:tcPr>
          <w:p w14:paraId="65607845">
            <w:pPr>
              <w:pStyle w:val="7"/>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7"/>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7"/>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7"/>
        <w:jc w:val="center"/>
        <w:rPr>
          <w:rFonts w:ascii="仿宋" w:hAnsi="仿宋" w:eastAsia="仿宋" w:cs="仿宋"/>
        </w:rPr>
      </w:pPr>
    </w:p>
    <w:p w14:paraId="76329B97">
      <w:pPr>
        <w:pStyle w:val="7"/>
        <w:jc w:val="center"/>
        <w:rPr>
          <w:rFonts w:ascii="仿宋" w:hAnsi="仿宋" w:eastAsia="仿宋" w:cs="仿宋"/>
        </w:rPr>
      </w:pPr>
    </w:p>
    <w:p w14:paraId="6B30A77B">
      <w:pPr>
        <w:pStyle w:val="7"/>
        <w:jc w:val="center"/>
        <w:rPr>
          <w:rFonts w:ascii="仿宋" w:hAnsi="仿宋" w:eastAsia="仿宋" w:cs="仿宋"/>
        </w:rPr>
      </w:pPr>
    </w:p>
    <w:p w14:paraId="3DF0E0FA">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DE8CB83-3111-45BE-8872-CA563825F03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AE7EFB0-722F-4A02-8DDE-A2CA93F594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CBB1F9F-B53A-4B6C-B58F-40A420FB6D7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E22B5FAC-EF64-4F83-9E21-620FABCDD4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6FA6458"/>
    <w:rsid w:val="07275343"/>
    <w:rsid w:val="075E03CE"/>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806A4"/>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5226684"/>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28</Pages>
  <Words>1355</Words>
  <Characters>1429</Characters>
  <Lines>58</Lines>
  <Paragraphs>16</Paragraphs>
  <TotalTime>0</TotalTime>
  <ScaleCrop>false</ScaleCrop>
  <LinksUpToDate>false</LinksUpToDate>
  <CharactersWithSpaces>1511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2026-06-03T02:41:31Z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