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w:t>
      </w:r>
      <w:r>
        <w:rPr>
          <w:rFonts w:hint="eastAsia" w:ascii="宋体" w:hAnsi="宋体"/>
          <w:b/>
          <w:color w:val="000000"/>
          <w:sz w:val="36"/>
          <w:lang w:val="en-US" w:eastAsia="zh-CN"/>
        </w:rPr>
        <w:t>106号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生殖中心净化空调维修改造服务</w:t>
      </w: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firstLine="1540" w:firstLineChars="700"/>
              <w:rPr>
                <w:rFonts w:hint="eastAsia" w:ascii="仿宋" w:hAnsi="仿宋" w:eastAsia="仿宋" w:cs="仿宋"/>
                <w:sz w:val="22"/>
              </w:rPr>
            </w:pPr>
            <w:r>
              <w:rPr>
                <w:rFonts w:hint="eastAsia" w:ascii="仿宋" w:hAnsi="仿宋" w:eastAsia="仿宋" w:cs="仿宋"/>
                <w:sz w:val="22"/>
                <w:lang w:val="en-US" w:eastAsia="zh-CN"/>
              </w:rPr>
              <w:t>生殖中心净化空调维修改造服务</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6）106号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19.8万元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王老师 18381660895</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3"/>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3"/>
        <w:numPr>
          <w:ilvl w:val="0"/>
          <w:numId w:val="0"/>
        </w:numPr>
        <w:ind w:left="402"/>
        <w:rPr>
          <w:rFonts w:ascii="黑体" w:hAnsi="黑体" w:cs="黑体"/>
          <w:szCs w:val="32"/>
        </w:rPr>
      </w:pPr>
      <w:bookmarkStart w:id="2" w:name="_Toc5431"/>
      <w:bookmarkStart w:id="3" w:name="_Toc28050"/>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0B45215A">
            <w:pPr>
              <w:numPr>
                <w:ilvl w:val="0"/>
                <w:numId w:val="0"/>
              </w:numPr>
              <w:ind w:leftChars="0"/>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3"/>
        <w:numPr>
          <w:ilvl w:val="0"/>
          <w:numId w:val="0"/>
        </w:numPr>
        <w:ind w:left="402"/>
      </w:pPr>
      <w:bookmarkStart w:id="5" w:name="_Toc12193"/>
      <w:bookmarkStart w:id="6" w:name="_Toc3988"/>
      <w:bookmarkStart w:id="7" w:name="_Toc1266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spacing w:line="500" w:lineRule="exact"/>
        <w:ind w:firstLine="480" w:firstLineChars="200"/>
        <w:jc w:val="left"/>
        <w:rPr>
          <w:rFonts w:hint="default" w:ascii="仿宋" w:hAnsi="仿宋" w:eastAsia="仿宋" w:cs="仿宋"/>
          <w:sz w:val="24"/>
          <w:szCs w:val="24"/>
          <w:lang w:val="en-US" w:eastAsia="zh-CN"/>
        </w:rPr>
      </w:pPr>
      <w:r>
        <w:rPr>
          <w:rFonts w:hint="eastAsia"/>
          <w:kern w:val="0"/>
          <w:sz w:val="24"/>
          <w:szCs w:val="24"/>
          <w:lang w:val="en-US" w:eastAsia="zh-CN"/>
        </w:rPr>
        <w:t>生殖医学中心胚胎培养室专用风柜故障频发，频繁出现高温报警且通风柜体变形严重</w:t>
      </w:r>
      <w:r>
        <w:rPr>
          <w:rFonts w:hint="eastAsia" w:ascii="仿宋" w:hAnsi="仿宋" w:eastAsia="仿宋" w:cs="仿宋"/>
          <w:sz w:val="24"/>
          <w:szCs w:val="24"/>
          <w:lang w:val="en-US" w:eastAsia="zh-CN"/>
        </w:rPr>
        <w:t>，需购买</w:t>
      </w:r>
      <w:r>
        <w:rPr>
          <w:rFonts w:hint="eastAsia"/>
          <w:kern w:val="0"/>
          <w:sz w:val="24"/>
          <w:szCs w:val="24"/>
          <w:lang w:val="en-US" w:eastAsia="zh-CN"/>
        </w:rPr>
        <w:t>生殖中心净化空调维修改造服务</w:t>
      </w:r>
      <w:r>
        <w:rPr>
          <w:rFonts w:hint="eastAsia" w:ascii="仿宋" w:hAnsi="仿宋" w:eastAsia="仿宋" w:cs="仿宋"/>
          <w:sz w:val="24"/>
          <w:szCs w:val="24"/>
          <w:lang w:val="en-US" w:eastAsia="zh-CN"/>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bookmarkStart w:id="78" w:name="_GoBack"/>
      <w:bookmarkEnd w:id="78"/>
    </w:p>
    <w:p w14:paraId="77922AA6">
      <w:pPr>
        <w:spacing w:line="360" w:lineRule="auto"/>
        <w:ind w:right="105" w:rightChars="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配置清单：</w:t>
      </w:r>
    </w:p>
    <w:tbl>
      <w:tblPr>
        <w:tblStyle w:val="18"/>
        <w:tblW w:w="989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42"/>
        <w:gridCol w:w="3272"/>
        <w:gridCol w:w="2584"/>
      </w:tblGrid>
      <w:tr w14:paraId="7674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7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2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0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6A15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A924">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53A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F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E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B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6CD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5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A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0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036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4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6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E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F46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F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C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4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C5C1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3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7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A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5D6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5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温湿度报警系统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4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B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14:paraId="1290AFD8">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1、设备制造商须同时取得ISO9001 质量管理体系认证、ISO14001 环境管理体系认证、职业健康安全管理体系认证，提供有效证书复印件并加盖公章。</w:t>
      </w:r>
    </w:p>
    <w:p w14:paraId="26833445">
      <w:pPr>
        <w:numPr>
          <w:ilvl w:val="0"/>
          <w:numId w:val="0"/>
        </w:num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▲2、组合式空调机组须通过CRAA 国家产品认证，提供证书复印件并加盖公章。</w:t>
      </w:r>
    </w:p>
    <w:p w14:paraId="431A3FCD">
      <w:pPr>
        <w:numPr>
          <w:ilvl w:val="0"/>
          <w:numId w:val="0"/>
        </w:num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▲3、制造商所生产空调机组整机通过国家 CNAS 认证，提供证书复印件并加盖公章。</w:t>
      </w:r>
    </w:p>
    <w:p w14:paraId="352E1174">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4、风柜箱体需采用铝合金框架 + 双面保温箱板结构。</w:t>
      </w:r>
    </w:p>
    <w:p w14:paraId="44A51FBE">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5、空调机组框架需采用铝合金框架结构；±1000Pa 条件下，机组变形量≤0.7mm/m；箱体机械强度不低于 D1 级，提供国家认可的第三方检测报告。</w:t>
      </w:r>
    </w:p>
    <w:p w14:paraId="296F88CA">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空调机组面板外板采用彩色镀锌钢板（板厚≥0.5mm），内板采用镀锌钢板或不锈钢板（板厚≥0.5mm），内外板全结构防冷桥、无直接接触；保温层厚度≥50mm，内充填聚氨酯发泡保温（密度≥48kg/m³），热绝缘性能不低于 T2 级。双面保温箱板燃烧性能符合 GB8624-2012，不低于 B1 级，提供国家认可的第三方检测报告。</w:t>
      </w:r>
    </w:p>
    <w:p w14:paraId="215115BD">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机组具备完善防冷桥措施，保证运转时框架外壁及外面板不结露，机组冷桥因子不低于 TB1 级，提供国家认可的第三方检测报告。</w:t>
      </w:r>
    </w:p>
    <w:p w14:paraId="18B99489">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8、机组密封性能优良，检修门采用可靠密封结构，按 GB/T14294-2008 检测，1000Pa 时机组漏风率≤0.25%，提供国家认可的第三方检测报告。。</w:t>
      </w:r>
    </w:p>
    <w:p w14:paraId="0F69507A">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9、采用优质三相异步电机，防护等级 IP55，F 级绝缘；可在环境温度≤40℃、相对湿度≤90% 条件下连续运行；风机及传动装置具备良好接地措施，避免静电累积。</w:t>
      </w:r>
    </w:p>
    <w:p w14:paraId="1B501C49">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10、表冷盘管采用防腐亲水铝箔，换热效率高，凝水呈水珠状不挂流；接水盘采用 304 不锈钢材质，防锈耐腐蚀。</w:t>
      </w:r>
    </w:p>
    <w:p w14:paraId="7E6C7ACB">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11、采用环保型制冷剂（R410A）。</w:t>
      </w:r>
    </w:p>
    <w:p w14:paraId="51B5ED0B">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★12、机组额定技术参数，送风量：≥11000m³/h，机外余压：≥500Pa，制冷量：≥49KW，制热量：≥46KW，电再热功率：≥36KW</w:t>
      </w:r>
    </w:p>
    <w:p w14:paraId="67A8430F">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★13、室外机制冷量：≥49KW，压缩机：变频。</w:t>
      </w:r>
    </w:p>
    <w:p w14:paraId="76F680A8">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14、配置手操器（1 台），品牌不限；与原系统控制器匹配，可读取温度、湿度、加湿量、故障信息，实现机组启停、温湿度设定功能。</w:t>
      </w:r>
    </w:p>
    <w:p w14:paraId="385867FC">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15、配置变频器（2 台），品牌不限；额定电压 380VAC，频率 0~60Hz 可调；运行指令 3 通道；控制面板具备自学习功能，可复制原有变频器参数；具备过载、电子热敏继电器、过电流、过电压保护功能。</w:t>
      </w:r>
    </w:p>
    <w:p w14:paraId="01CBD8E1">
      <w:pPr>
        <w:spacing w:line="360" w:lineRule="auto"/>
        <w:ind w:right="105" w:right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16、配置控制器（1 套）、控制电脑（1套，内存≥5GB，存储≥1T），品牌不限；内置适配本空调系统的控制程序，可与原上位机通讯；具备 2 个通讯端口，分别用于与上位机、本次采购手操器通讯。</w:t>
      </w:r>
    </w:p>
    <w:p w14:paraId="6D3E4EFB">
      <w:pPr>
        <w:pStyle w:val="2"/>
        <w:ind w:left="0" w:leftChars="0" w:firstLine="0" w:firstLineChars="0"/>
        <w:rPr>
          <w:rFonts w:hint="default"/>
          <w:lang w:val="en-US" w:eastAsia="zh-CN"/>
        </w:rPr>
      </w:pPr>
      <w:r>
        <w:rPr>
          <w:rFonts w:hint="eastAsia" w:ascii="仿宋" w:hAnsi="仿宋" w:eastAsia="仿宋" w:cs="仿宋"/>
          <w:sz w:val="24"/>
          <w:szCs w:val="24"/>
          <w:lang w:val="en-US" w:eastAsia="zh-CN"/>
        </w:rPr>
        <w:t>17、配置1套温湿度报警系统，温湿度异常时可短信告知相关人员。</w:t>
      </w:r>
    </w:p>
    <w:p w14:paraId="7414DD69">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18、中标方服务包含原有设备拆除及处置，新设备运输、安装、调试、培训。</w:t>
      </w:r>
    </w:p>
    <w:p w14:paraId="14A54367">
      <w:pPr>
        <w:rPr>
          <w:rFonts w:hint="default"/>
          <w:lang w:val="en-US" w:eastAsia="zh-CN"/>
        </w:rPr>
      </w:pPr>
      <w:r>
        <w:rPr>
          <w:rFonts w:hint="eastAsia" w:ascii="仿宋" w:hAnsi="仿宋" w:eastAsia="仿宋" w:cs="仿宋"/>
          <w:sz w:val="24"/>
          <w:szCs w:val="24"/>
          <w:lang w:val="en-US" w:eastAsia="zh-CN"/>
        </w:rPr>
        <w:t>19、该系统维修升级后质保3年。</w:t>
      </w:r>
    </w:p>
    <w:p w14:paraId="53C28E56">
      <w:pPr>
        <w:rPr>
          <w:rFonts w:hint="default"/>
          <w:lang w:val="en-US" w:eastAsia="zh-CN"/>
        </w:rPr>
      </w:pPr>
    </w:p>
    <w:p w14:paraId="293CA864">
      <w:pPr>
        <w:numPr>
          <w:ilvl w:val="0"/>
          <w:numId w:val="0"/>
        </w:numPr>
        <w:spacing w:line="360" w:lineRule="auto"/>
        <w:ind w:leftChars="0"/>
        <w:rPr>
          <w:rFonts w:hint="eastAsia" w:asciiTheme="minorHAnsi" w:hAnsiTheme="minorHAnsi" w:eastAsiaTheme="minorEastAsia" w:cstheme="minorBidi"/>
          <w:kern w:val="0"/>
          <w:sz w:val="24"/>
          <w:szCs w:val="24"/>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31BD694">
      <w:pPr>
        <w:pStyle w:val="7"/>
        <w:numPr>
          <w:ilvl w:val="0"/>
          <w:numId w:val="19"/>
        </w:numPr>
        <w:spacing w:before="5" w:line="360" w:lineRule="auto"/>
        <w:ind w:right="144" w:right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付款方法和条件：</w:t>
      </w:r>
    </w:p>
    <w:p w14:paraId="69638C2A">
      <w:pPr>
        <w:pStyle w:val="7"/>
        <w:numPr>
          <w:ilvl w:val="0"/>
          <w:numId w:val="0"/>
        </w:numPr>
        <w:spacing w:before="5" w:line="360" w:lineRule="auto"/>
        <w:ind w:right="144" w:right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（1）服务费分两次付清，合同签订后中标人完成升级改造经采购人验收合格后，达到付款条件起14日内，支付合同总金额的90%。</w:t>
      </w:r>
    </w:p>
    <w:p w14:paraId="1671EC8D">
      <w:pPr>
        <w:pStyle w:val="7"/>
        <w:numPr>
          <w:ilvl w:val="0"/>
          <w:numId w:val="0"/>
        </w:numPr>
        <w:spacing w:before="5" w:line="360" w:lineRule="auto"/>
        <w:ind w:right="144" w:rightChars="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（2）中标人完成升级改造服务满12个月经采购人验收合格后，达到付款条件起14日内，支付合同总金额的10%。</w:t>
      </w:r>
    </w:p>
    <w:p w14:paraId="60677C3E">
      <w:pPr>
        <w:widowControl/>
        <w:adjustRightInd w:val="0"/>
        <w:snapToGrid w:val="0"/>
        <w:spacing w:line="360" w:lineRule="auto"/>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 、支付方式：转账、电汇等非现金方式。</w:t>
      </w:r>
    </w:p>
    <w:p w14:paraId="12397480">
      <w:pPr>
        <w:pStyle w:val="16"/>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16"/>
        <w:ind w:firstLine="420" w:firstLineChars="200"/>
      </w:pPr>
      <w:r>
        <w:br w:type="page"/>
      </w:r>
    </w:p>
    <w:p w14:paraId="7908AF34">
      <w:pPr>
        <w:pStyle w:val="3"/>
        <w:numPr>
          <w:ilvl w:val="0"/>
          <w:numId w:val="0"/>
        </w:numPr>
        <w:ind w:left="402"/>
      </w:pPr>
      <w:bookmarkStart w:id="8" w:name="_Toc16344"/>
      <w:bookmarkStart w:id="9" w:name="_Toc3094"/>
      <w:bookmarkStart w:id="10" w:name="_Toc22827"/>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4960"/>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9428"/>
      <w:bookmarkStart w:id="16" w:name="_Toc30609"/>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32352"/>
      <w:bookmarkStart w:id="19" w:name="_Toc9041"/>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24859"/>
      <w:bookmarkStart w:id="23" w:name="_Toc32749"/>
      <w:bookmarkStart w:id="24" w:name="_Toc1690"/>
      <w:bookmarkStart w:id="25" w:name="_Toc17163"/>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6803"/>
      <w:bookmarkStart w:id="28" w:name="_Toc2412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7135"/>
      <w:bookmarkStart w:id="32" w:name="_Toc2989"/>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19987"/>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16029"/>
      <w:bookmarkStart w:id="40" w:name="_Toc14829"/>
      <w:bookmarkStart w:id="41" w:name="_Toc6482"/>
      <w:bookmarkStart w:id="42" w:name="_Toc11352"/>
      <w:bookmarkStart w:id="43" w:name="_Toc2151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4"/>
        <w:ind w:firstLine="0"/>
      </w:pPr>
      <w:r>
        <w:rPr>
          <w:rFonts w:hint="eastAsia"/>
        </w:rPr>
        <w:t>承诺函</w:t>
      </w:r>
      <w:bookmarkEnd w:id="38"/>
      <w:bookmarkEnd w:id="39"/>
      <w:bookmarkEnd w:id="40"/>
      <w:bookmarkEnd w:id="41"/>
      <w:bookmarkEnd w:id="42"/>
      <w:bookmarkEnd w:id="43"/>
    </w:p>
    <w:p w14:paraId="032CC9B3">
      <w:pPr>
        <w:pStyle w:val="7"/>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7"/>
        <w:jc w:val="left"/>
        <w:rPr>
          <w:rFonts w:ascii="仿宋" w:hAnsi="仿宋" w:eastAsia="仿宋" w:cs="仿宋"/>
          <w:sz w:val="24"/>
        </w:rPr>
      </w:pPr>
      <w:r>
        <w:rPr>
          <w:rFonts w:hint="eastAsia" w:ascii="仿宋" w:hAnsi="仿宋" w:eastAsia="仿宋" w:cs="仿宋"/>
          <w:bCs/>
          <w:sz w:val="24"/>
        </w:rPr>
        <w:t>时间：</w:t>
      </w:r>
    </w:p>
    <w:p w14:paraId="2EDFE03D">
      <w:bookmarkStart w:id="44" w:name="_Toc17857"/>
      <w:bookmarkStart w:id="45" w:name="_Toc31838"/>
      <w:bookmarkStart w:id="46" w:name="_Toc4305"/>
      <w:bookmarkStart w:id="47" w:name="_Toc22676"/>
      <w:bookmarkStart w:id="48" w:name="_Toc30971"/>
      <w:r>
        <w:rPr>
          <w:rFonts w:hint="eastAsia"/>
        </w:rPr>
        <w:br w:type="page"/>
      </w:r>
    </w:p>
    <w:p w14:paraId="2278E64B">
      <w:pPr>
        <w:pStyle w:val="4"/>
        <w:ind w:left="-1" w:firstLine="0"/>
      </w:pPr>
      <w:r>
        <w:rPr>
          <w:rFonts w:hint="eastAsia"/>
        </w:rPr>
        <w:t>具有独立承担民事责任的能力</w:t>
      </w:r>
      <w:bookmarkEnd w:id="44"/>
      <w:bookmarkEnd w:id="45"/>
      <w:bookmarkEnd w:id="46"/>
      <w:bookmarkEnd w:id="47"/>
      <w:bookmarkEnd w:id="48"/>
    </w:p>
    <w:p w14:paraId="6ED71137">
      <w:pPr>
        <w:pStyle w:val="7"/>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4"/>
        <w:ind w:firstLine="0"/>
        <w:rPr>
          <w:rStyle w:val="31"/>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25357"/>
      <w:bookmarkStart w:id="53" w:name="_Toc13706"/>
      <w:bookmarkStart w:id="54" w:name="_Toc13904"/>
    </w:p>
    <w:p w14:paraId="2490D0F0">
      <w:pPr>
        <w:pStyle w:val="4"/>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7"/>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4"/>
        <w:ind w:firstLine="0"/>
        <w:rPr>
          <w:rFonts w:ascii="仿宋" w:hAnsi="仿宋" w:cs="仿宋"/>
          <w:szCs w:val="32"/>
        </w:rPr>
      </w:pPr>
      <w:r>
        <w:rPr>
          <w:rFonts w:hint="eastAsia" w:ascii="仿宋" w:hAnsi="仿宋" w:cs="仿宋"/>
          <w:szCs w:val="32"/>
        </w:rPr>
        <w:br w:type="page"/>
      </w:r>
      <w:bookmarkStart w:id="57" w:name="_Toc12015"/>
      <w:bookmarkStart w:id="58" w:name="_Toc11351"/>
      <w:bookmarkStart w:id="59" w:name="_Toc20589"/>
      <w:bookmarkStart w:id="60" w:name="_Toc27661"/>
      <w:bookmarkStart w:id="61" w:name="_Toc15526"/>
      <w:bookmarkStart w:id="62" w:name="_Toc25638"/>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7"/>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7"/>
        <w:snapToGrid w:val="0"/>
        <w:spacing w:after="0" w:line="500" w:lineRule="exact"/>
        <w:ind w:firstLine="480" w:firstLineChars="200"/>
        <w:rPr>
          <w:rFonts w:ascii="仿宋" w:hAnsi="仿宋" w:eastAsia="仿宋" w:cs="仿宋"/>
          <w:sz w:val="24"/>
        </w:rPr>
      </w:pPr>
    </w:p>
    <w:p w14:paraId="76287808">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4"/>
        <w:ind w:firstLine="0"/>
        <w:rPr>
          <w:rStyle w:val="39"/>
          <w:rFonts w:ascii="仿宋" w:hAnsi="仿宋" w:cs="仿宋"/>
          <w:b/>
          <w:szCs w:val="32"/>
        </w:rPr>
      </w:pPr>
      <w:r>
        <w:rPr>
          <w:rFonts w:hint="eastAsia" w:ascii="仿宋" w:hAnsi="仿宋" w:cs="仿宋"/>
          <w:szCs w:val="32"/>
        </w:rPr>
        <w:br w:type="page"/>
      </w:r>
      <w:bookmarkStart w:id="63" w:name="_Toc26969"/>
      <w:bookmarkStart w:id="64" w:name="_Toc23967"/>
      <w:bookmarkStart w:id="65" w:name="_Toc1074"/>
      <w:bookmarkStart w:id="66" w:name="_Toc12967"/>
      <w:bookmarkStart w:id="67" w:name="_Toc2041"/>
      <w:bookmarkStart w:id="68" w:name="_Toc16435"/>
      <w:r>
        <w:rPr>
          <w:rStyle w:val="39"/>
          <w:rFonts w:hint="eastAsia"/>
          <w:b/>
        </w:rPr>
        <w:t>采购需求偏离表</w:t>
      </w:r>
      <w:bookmarkEnd w:id="63"/>
      <w:bookmarkEnd w:id="64"/>
      <w:bookmarkEnd w:id="65"/>
      <w:bookmarkEnd w:id="66"/>
      <w:bookmarkEnd w:id="67"/>
      <w:bookmarkEnd w:id="68"/>
    </w:p>
    <w:p w14:paraId="17FE6086">
      <w:pPr>
        <w:pStyle w:val="4"/>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6"/>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4"/>
        <w:numPr>
          <w:ilvl w:val="0"/>
          <w:numId w:val="0"/>
        </w:numPr>
        <w:ind w:firstLine="3534" w:firstLineChars="1100"/>
        <w:jc w:val="both"/>
        <w:rPr>
          <w:rStyle w:val="39"/>
          <w:b/>
        </w:rPr>
      </w:pPr>
    </w:p>
    <w:p w14:paraId="0BE16B8E">
      <w:pPr>
        <w:pStyle w:val="4"/>
        <w:numPr>
          <w:ilvl w:val="0"/>
          <w:numId w:val="0"/>
        </w:numPr>
        <w:ind w:firstLine="3534" w:firstLineChars="1100"/>
        <w:jc w:val="both"/>
        <w:rPr>
          <w:rStyle w:val="39"/>
          <w:b/>
        </w:rPr>
      </w:pPr>
    </w:p>
    <w:p w14:paraId="4F07CD7D">
      <w:pPr>
        <w:pStyle w:val="4"/>
        <w:numPr>
          <w:ilvl w:val="0"/>
          <w:numId w:val="0"/>
        </w:numPr>
        <w:ind w:firstLine="3534" w:firstLineChars="1100"/>
        <w:jc w:val="both"/>
        <w:rPr>
          <w:rStyle w:val="39"/>
          <w:b/>
        </w:rPr>
      </w:pPr>
    </w:p>
    <w:p w14:paraId="5039777D">
      <w:pPr>
        <w:pStyle w:val="4"/>
        <w:numPr>
          <w:ilvl w:val="0"/>
          <w:numId w:val="0"/>
        </w:numPr>
        <w:ind w:firstLine="3534" w:firstLineChars="1100"/>
        <w:jc w:val="both"/>
        <w:rPr>
          <w:rStyle w:val="39"/>
          <w:b/>
        </w:rPr>
      </w:pPr>
    </w:p>
    <w:p w14:paraId="48346406">
      <w:pPr>
        <w:pStyle w:val="4"/>
        <w:numPr>
          <w:ilvl w:val="0"/>
          <w:numId w:val="0"/>
        </w:numPr>
        <w:ind w:firstLine="3534" w:firstLineChars="1100"/>
        <w:jc w:val="both"/>
        <w:rPr>
          <w:rStyle w:val="39"/>
          <w:b/>
        </w:rPr>
      </w:pPr>
    </w:p>
    <w:p w14:paraId="3CF2EC76">
      <w:pPr>
        <w:pStyle w:val="4"/>
        <w:numPr>
          <w:ilvl w:val="0"/>
          <w:numId w:val="0"/>
        </w:numPr>
        <w:ind w:firstLine="3534" w:firstLineChars="1100"/>
        <w:jc w:val="both"/>
        <w:rPr>
          <w:rStyle w:val="39"/>
          <w:b/>
        </w:rPr>
      </w:pPr>
    </w:p>
    <w:p w14:paraId="3FFEF3E9">
      <w:pPr>
        <w:pStyle w:val="4"/>
        <w:numPr>
          <w:ilvl w:val="0"/>
          <w:numId w:val="0"/>
        </w:numPr>
        <w:ind w:firstLine="3534" w:firstLineChars="1100"/>
        <w:jc w:val="both"/>
        <w:rPr>
          <w:rStyle w:val="39"/>
          <w:b/>
        </w:rPr>
      </w:pPr>
    </w:p>
    <w:p w14:paraId="5005FE04">
      <w:pPr>
        <w:pStyle w:val="4"/>
        <w:numPr>
          <w:ilvl w:val="0"/>
          <w:numId w:val="0"/>
        </w:numPr>
        <w:ind w:firstLine="3534" w:firstLineChars="1100"/>
        <w:jc w:val="both"/>
        <w:rPr>
          <w:rStyle w:val="39"/>
          <w:b/>
        </w:rPr>
      </w:pPr>
    </w:p>
    <w:p w14:paraId="7FEBA4AF">
      <w:pPr>
        <w:pStyle w:val="4"/>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6"/>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24494"/>
      <w:bookmarkStart w:id="71" w:name="_Toc32605"/>
    </w:p>
    <w:p w14:paraId="1CBA6903">
      <w:pPr>
        <w:pStyle w:val="4"/>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29032"/>
      <w:bookmarkStart w:id="74" w:name="_Toc14685"/>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7"/>
        <w:rPr>
          <w:rFonts w:ascii="仿宋" w:hAnsi="仿宋" w:eastAsia="仿宋" w:cs="仿宋"/>
          <w:b/>
          <w:bCs/>
        </w:rPr>
      </w:pPr>
      <w:r>
        <w:rPr>
          <w:rFonts w:hint="eastAsia" w:ascii="仿宋" w:hAnsi="仿宋" w:eastAsia="仿宋" w:cs="仿宋"/>
          <w:b/>
          <w:bCs/>
        </w:rPr>
        <w:t>2.报价一览表</w:t>
      </w:r>
    </w:p>
    <w:tbl>
      <w:tblPr>
        <w:tblStyle w:val="19"/>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7"/>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7"/>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7"/>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7"/>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7"/>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7"/>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7"/>
              <w:jc w:val="center"/>
              <w:rPr>
                <w:rFonts w:ascii="仿宋" w:hAnsi="仿宋" w:eastAsia="仿宋" w:cs="仿宋"/>
                <w:sz w:val="24"/>
                <w:szCs w:val="24"/>
              </w:rPr>
            </w:pPr>
          </w:p>
        </w:tc>
        <w:tc>
          <w:tcPr>
            <w:tcW w:w="2104" w:type="dxa"/>
            <w:vAlign w:val="center"/>
          </w:tcPr>
          <w:p w14:paraId="152F4F26">
            <w:pPr>
              <w:pStyle w:val="7"/>
              <w:jc w:val="center"/>
              <w:rPr>
                <w:rFonts w:ascii="仿宋" w:hAnsi="仿宋" w:eastAsia="仿宋" w:cs="仿宋"/>
                <w:sz w:val="24"/>
                <w:szCs w:val="24"/>
              </w:rPr>
            </w:pPr>
          </w:p>
        </w:tc>
        <w:tc>
          <w:tcPr>
            <w:tcW w:w="2104" w:type="dxa"/>
            <w:vAlign w:val="center"/>
          </w:tcPr>
          <w:p w14:paraId="7EBC2981">
            <w:pPr>
              <w:pStyle w:val="7"/>
              <w:jc w:val="center"/>
              <w:rPr>
                <w:rFonts w:ascii="仿宋" w:hAnsi="仿宋" w:eastAsia="仿宋" w:cs="仿宋"/>
                <w:sz w:val="24"/>
                <w:szCs w:val="24"/>
              </w:rPr>
            </w:pPr>
          </w:p>
        </w:tc>
        <w:tc>
          <w:tcPr>
            <w:tcW w:w="2104" w:type="dxa"/>
            <w:vAlign w:val="center"/>
          </w:tcPr>
          <w:p w14:paraId="65607845">
            <w:pPr>
              <w:pStyle w:val="7"/>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7"/>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7"/>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7"/>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4"/>
        <w:ind w:firstLine="0"/>
      </w:pPr>
      <w:r>
        <w:rPr>
          <w:rFonts w:hint="eastAsia"/>
        </w:rPr>
        <w:t>供应商认为需要提供的其他材料</w:t>
      </w:r>
      <w:bookmarkEnd w:id="69"/>
      <w:bookmarkEnd w:id="70"/>
      <w:bookmarkEnd w:id="71"/>
      <w:bookmarkEnd w:id="73"/>
      <w:bookmarkEnd w:id="74"/>
      <w:bookmarkEnd w:id="75"/>
    </w:p>
    <w:p w14:paraId="774B64BE">
      <w:pPr>
        <w:pStyle w:val="7"/>
        <w:jc w:val="center"/>
        <w:rPr>
          <w:rFonts w:ascii="仿宋" w:hAnsi="仿宋" w:eastAsia="仿宋" w:cs="仿宋"/>
        </w:rPr>
      </w:pPr>
    </w:p>
    <w:p w14:paraId="76329B97">
      <w:pPr>
        <w:pStyle w:val="7"/>
        <w:jc w:val="center"/>
        <w:rPr>
          <w:rFonts w:ascii="仿宋" w:hAnsi="仿宋" w:eastAsia="仿宋" w:cs="仿宋"/>
        </w:rPr>
      </w:pPr>
    </w:p>
    <w:p w14:paraId="6B30A77B">
      <w:pPr>
        <w:pStyle w:val="7"/>
        <w:jc w:val="center"/>
        <w:rPr>
          <w:rFonts w:ascii="仿宋" w:hAnsi="仿宋" w:eastAsia="仿宋" w:cs="仿宋"/>
        </w:rPr>
      </w:pPr>
    </w:p>
    <w:p w14:paraId="3DF0E0FA">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66F1C5-879A-4389-8FB6-92E46253ABA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10E58D2-24A2-4467-AF47-616E07E1B5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A42C202-C23A-4501-A01F-A15C7486A89F}"/>
  </w:font>
  <w:font w:name="仿宋">
    <w:panose1 w:val="02010609060101010101"/>
    <w:charset w:val="86"/>
    <w:family w:val="modern"/>
    <w:pitch w:val="default"/>
    <w:sig w:usb0="800002BF" w:usb1="38CF7CFA" w:usb2="00000016" w:usb3="00000000" w:csb0="00040001" w:csb1="00000000"/>
    <w:embedRegular r:id="rId4" w:fontKey="{703746C6-4842-44E9-A907-B2EB6A054938}"/>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C51A897A-75F8-44F9-8F4A-3EB9A0AA80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D9384BAD"/>
    <w:multiLevelType w:val="singleLevel"/>
    <w:tmpl w:val="D9384BAD"/>
    <w:lvl w:ilvl="0" w:tentative="0">
      <w:start w:val="1"/>
      <w:numFmt w:val="decimal"/>
      <w:suff w:val="nothing"/>
      <w:lvlText w:val="%1、"/>
      <w:lvlJc w:val="left"/>
    </w:lvl>
  </w:abstractNum>
  <w:abstractNum w:abstractNumId="7">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8">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10"/>
  </w:num>
  <w:num w:numId="3">
    <w:abstractNumId w:val="15"/>
  </w:num>
  <w:num w:numId="4">
    <w:abstractNumId w:val="18"/>
  </w:num>
  <w:num w:numId="5">
    <w:abstractNumId w:val="12"/>
  </w:num>
  <w:num w:numId="6">
    <w:abstractNumId w:val="17"/>
  </w:num>
  <w:num w:numId="7">
    <w:abstractNumId w:val="14"/>
  </w:num>
  <w:num w:numId="8">
    <w:abstractNumId w:val="9"/>
  </w:num>
  <w:num w:numId="9">
    <w:abstractNumId w:val="16"/>
  </w:num>
  <w:num w:numId="10">
    <w:abstractNumId w:val="1"/>
  </w:num>
  <w:num w:numId="11">
    <w:abstractNumId w:val="5"/>
  </w:num>
  <w:num w:numId="12">
    <w:abstractNumId w:val="0"/>
  </w:num>
  <w:num w:numId="13">
    <w:abstractNumId w:val="2"/>
  </w:num>
  <w:num w:numId="14">
    <w:abstractNumId w:val="8"/>
  </w:num>
  <w:num w:numId="15">
    <w:abstractNumId w:val="3"/>
  </w:num>
  <w:num w:numId="16">
    <w:abstractNumId w:val="7"/>
  </w:num>
  <w:num w:numId="17">
    <w:abstractNumId w:val="11"/>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3034D0"/>
    <w:rsid w:val="058C78B0"/>
    <w:rsid w:val="05D12E0E"/>
    <w:rsid w:val="05E13064"/>
    <w:rsid w:val="06043A48"/>
    <w:rsid w:val="06DD0510"/>
    <w:rsid w:val="07275343"/>
    <w:rsid w:val="075E03CE"/>
    <w:rsid w:val="078909F5"/>
    <w:rsid w:val="0797664C"/>
    <w:rsid w:val="07CA7DEC"/>
    <w:rsid w:val="08722396"/>
    <w:rsid w:val="093A3733"/>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806A4"/>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EF347F"/>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7D6EF4"/>
    <w:rsid w:val="371E7B30"/>
    <w:rsid w:val="37BF3B20"/>
    <w:rsid w:val="380B5401"/>
    <w:rsid w:val="38323B02"/>
    <w:rsid w:val="38AE5E8C"/>
    <w:rsid w:val="3A06710B"/>
    <w:rsid w:val="3A335BDD"/>
    <w:rsid w:val="3A900FE8"/>
    <w:rsid w:val="3A973F7E"/>
    <w:rsid w:val="3B4E7DFC"/>
    <w:rsid w:val="3C1063F2"/>
    <w:rsid w:val="3CBC5C91"/>
    <w:rsid w:val="3D375AA1"/>
    <w:rsid w:val="3D931F15"/>
    <w:rsid w:val="3DB51E2C"/>
    <w:rsid w:val="3EA40469"/>
    <w:rsid w:val="3F6C393F"/>
    <w:rsid w:val="3FA84948"/>
    <w:rsid w:val="3FE34CD0"/>
    <w:rsid w:val="41600431"/>
    <w:rsid w:val="42075FF8"/>
    <w:rsid w:val="42434B77"/>
    <w:rsid w:val="42D94E43"/>
    <w:rsid w:val="42E77C3D"/>
    <w:rsid w:val="4335673E"/>
    <w:rsid w:val="43B34232"/>
    <w:rsid w:val="43C401ED"/>
    <w:rsid w:val="44A32AC2"/>
    <w:rsid w:val="452C0E08"/>
    <w:rsid w:val="454937BA"/>
    <w:rsid w:val="46271B24"/>
    <w:rsid w:val="46284338"/>
    <w:rsid w:val="465B6B84"/>
    <w:rsid w:val="465D0053"/>
    <w:rsid w:val="468567BB"/>
    <w:rsid w:val="4710374A"/>
    <w:rsid w:val="477F61D9"/>
    <w:rsid w:val="4782487D"/>
    <w:rsid w:val="47F36CDA"/>
    <w:rsid w:val="480756B2"/>
    <w:rsid w:val="483002E2"/>
    <w:rsid w:val="489F1E0A"/>
    <w:rsid w:val="48D62926"/>
    <w:rsid w:val="49344560"/>
    <w:rsid w:val="495751DE"/>
    <w:rsid w:val="497004D0"/>
    <w:rsid w:val="4AB820A2"/>
    <w:rsid w:val="4B4F618D"/>
    <w:rsid w:val="4BAD0151"/>
    <w:rsid w:val="4BD854D0"/>
    <w:rsid w:val="4C8F75A2"/>
    <w:rsid w:val="4CB701C3"/>
    <w:rsid w:val="4D4C612C"/>
    <w:rsid w:val="4D7F5185"/>
    <w:rsid w:val="4D7F6DB0"/>
    <w:rsid w:val="4E8C008E"/>
    <w:rsid w:val="4F784E82"/>
    <w:rsid w:val="4FAB2261"/>
    <w:rsid w:val="4FD14828"/>
    <w:rsid w:val="506A72A7"/>
    <w:rsid w:val="50771A9C"/>
    <w:rsid w:val="52B04438"/>
    <w:rsid w:val="52B21B59"/>
    <w:rsid w:val="52EC23F5"/>
    <w:rsid w:val="53854CE8"/>
    <w:rsid w:val="53BF0A7B"/>
    <w:rsid w:val="5455382C"/>
    <w:rsid w:val="545E542E"/>
    <w:rsid w:val="55226684"/>
    <w:rsid w:val="566B5FD6"/>
    <w:rsid w:val="56A53892"/>
    <w:rsid w:val="56FB3CBC"/>
    <w:rsid w:val="5728175E"/>
    <w:rsid w:val="5734171E"/>
    <w:rsid w:val="57BE2E73"/>
    <w:rsid w:val="57C512E5"/>
    <w:rsid w:val="586B0701"/>
    <w:rsid w:val="58BD4DB3"/>
    <w:rsid w:val="59286AAB"/>
    <w:rsid w:val="59710D46"/>
    <w:rsid w:val="59B52D28"/>
    <w:rsid w:val="5A831663"/>
    <w:rsid w:val="5B243E89"/>
    <w:rsid w:val="5B320CC3"/>
    <w:rsid w:val="5B800F26"/>
    <w:rsid w:val="5B9C032B"/>
    <w:rsid w:val="5BC375D3"/>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C60FC0"/>
    <w:rsid w:val="63C619D1"/>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2">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hAnsi="Arial" w:eastAsia="黑体"/>
      <w:kern w:val="0"/>
      <w:sz w:val="28"/>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4"/>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27</Pages>
  <Words>61</Words>
  <Characters>72</Characters>
  <Lines>58</Lines>
  <Paragraphs>16</Paragraphs>
  <TotalTime>0</TotalTime>
  <ScaleCrop>false</ScaleCrop>
  <LinksUpToDate>false</LinksUpToDate>
  <CharactersWithSpaces>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2026-06-02T01:46:36Z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