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54AF0">
      <w:pPr>
        <w:jc w:val="center"/>
        <w:rPr>
          <w:rFonts w:ascii="Times New Roman" w:hAnsi="Times New Roman" w:eastAsia="宋体" w:cs="Times New Roman"/>
          <w:b/>
          <w:sz w:val="84"/>
          <w:szCs w:val="84"/>
        </w:rPr>
      </w:pPr>
      <w:r>
        <w:rPr>
          <w:rFonts w:hint="eastAsia"/>
          <w:b/>
          <w:sz w:val="52"/>
          <w:szCs w:val="52"/>
        </w:rPr>
        <w:t>绵阳市中心医院</w:t>
      </w:r>
    </w:p>
    <w:p w14:paraId="5F5BA90A">
      <w:pPr>
        <w:jc w:val="center"/>
        <w:rPr>
          <w:rFonts w:ascii="宋体" w:hAnsi="宋体"/>
          <w:b/>
          <w:color w:val="000000"/>
          <w:sz w:val="52"/>
          <w:szCs w:val="52"/>
        </w:rPr>
      </w:pPr>
    </w:p>
    <w:p w14:paraId="621BCD38">
      <w:pPr>
        <w:jc w:val="center"/>
        <w:rPr>
          <w:rFonts w:ascii="宋体" w:hAnsi="宋体"/>
          <w:b/>
          <w:color w:val="FF0000"/>
          <w:spacing w:val="-30"/>
          <w:sz w:val="120"/>
          <w:szCs w:val="120"/>
        </w:rPr>
      </w:pPr>
      <w:r>
        <w:rPr>
          <w:rFonts w:hint="eastAsia" w:ascii="宋体" w:hAnsi="宋体"/>
          <w:b/>
          <w:color w:val="FF0000"/>
          <w:spacing w:val="-30"/>
          <w:sz w:val="120"/>
          <w:szCs w:val="120"/>
        </w:rPr>
        <w:t>竞争性磋商文件</w:t>
      </w:r>
    </w:p>
    <w:p w14:paraId="383CDAE2">
      <w:pPr>
        <w:rPr>
          <w:rFonts w:ascii="宋体" w:hAnsi="宋体"/>
          <w:b/>
          <w:color w:val="000000"/>
          <w:sz w:val="72"/>
          <w:szCs w:val="24"/>
        </w:rPr>
      </w:pPr>
    </w:p>
    <w:p w14:paraId="1C0C8FC4">
      <w:pPr>
        <w:rPr>
          <w:rFonts w:ascii="宋体" w:hAnsi="宋体"/>
          <w:b/>
          <w:color w:val="000000"/>
          <w:sz w:val="72"/>
        </w:rPr>
      </w:pPr>
    </w:p>
    <w:p w14:paraId="3C07B5D1">
      <w:pPr>
        <w:ind w:firstLine="720" w:firstLineChars="200"/>
        <w:rPr>
          <w:rFonts w:ascii="宋体" w:hAnsi="宋体"/>
          <w:color w:val="000000"/>
          <w:sz w:val="36"/>
        </w:rPr>
      </w:pPr>
    </w:p>
    <w:p w14:paraId="0AA4AE27">
      <w:pPr>
        <w:ind w:firstLine="720" w:firstLineChars="200"/>
        <w:rPr>
          <w:rFonts w:ascii="宋体" w:hAnsi="宋体"/>
          <w:color w:val="000000"/>
          <w:sz w:val="36"/>
        </w:rPr>
      </w:pPr>
    </w:p>
    <w:p w14:paraId="6C805F41">
      <w:pPr>
        <w:ind w:firstLine="723" w:firstLineChars="200"/>
        <w:rPr>
          <w:rFonts w:hint="eastAsia" w:ascii="宋体" w:hAnsi="宋体"/>
          <w:color w:val="000000"/>
          <w:sz w:val="36"/>
          <w:szCs w:val="24"/>
        </w:rPr>
      </w:pPr>
      <w:r>
        <w:rPr>
          <w:rFonts w:hint="eastAsia" w:ascii="宋体" w:hAnsi="宋体"/>
          <w:b/>
          <w:color w:val="000000"/>
          <w:sz w:val="36"/>
        </w:rPr>
        <w:t>项目编号：</w:t>
      </w:r>
      <w:r>
        <w:rPr>
          <w:rFonts w:hint="eastAsia" w:ascii="宋体" w:hAnsi="宋体"/>
          <w:color w:val="000000"/>
          <w:sz w:val="36"/>
          <w:szCs w:val="24"/>
        </w:rPr>
        <w:t xml:space="preserve"> MYCH竞磋（202</w:t>
      </w:r>
      <w:r>
        <w:rPr>
          <w:rFonts w:hint="eastAsia" w:ascii="宋体" w:hAnsi="宋体"/>
          <w:color w:val="000000"/>
          <w:sz w:val="36"/>
          <w:szCs w:val="24"/>
          <w:lang w:val="en-US" w:eastAsia="zh-CN"/>
        </w:rPr>
        <w:t>6</w:t>
      </w:r>
      <w:r>
        <w:rPr>
          <w:rFonts w:hint="eastAsia" w:ascii="宋体" w:hAnsi="宋体"/>
          <w:color w:val="000000"/>
          <w:sz w:val="36"/>
          <w:szCs w:val="24"/>
        </w:rPr>
        <w:t>）0</w:t>
      </w:r>
      <w:r>
        <w:rPr>
          <w:rFonts w:hint="eastAsia" w:ascii="宋体" w:hAnsi="宋体"/>
          <w:color w:val="000000"/>
          <w:sz w:val="36"/>
          <w:szCs w:val="24"/>
          <w:lang w:val="en-US" w:eastAsia="zh-CN"/>
        </w:rPr>
        <w:t>05</w:t>
      </w:r>
      <w:r>
        <w:rPr>
          <w:rFonts w:hint="eastAsia" w:ascii="宋体" w:hAnsi="宋体"/>
          <w:color w:val="000000"/>
          <w:sz w:val="36"/>
          <w:szCs w:val="24"/>
        </w:rPr>
        <w:t>号</w:t>
      </w:r>
    </w:p>
    <w:p w14:paraId="2903C7CF">
      <w:pPr>
        <w:pStyle w:val="10"/>
      </w:pPr>
    </w:p>
    <w:p w14:paraId="5BF61F99">
      <w:pPr>
        <w:ind w:left="2525" w:leftChars="342" w:hanging="1807" w:hangingChars="500"/>
        <w:rPr>
          <w:rFonts w:hint="eastAsia" w:ascii="宋体" w:hAnsi="宋体"/>
          <w:color w:val="000000"/>
          <w:sz w:val="36"/>
          <w:szCs w:val="24"/>
          <w:lang w:val="en-US"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val="en-US" w:eastAsia="zh-CN"/>
        </w:rPr>
        <w:t xml:space="preserve"> 三江医院二期项目建议书编制服务</w:t>
      </w:r>
    </w:p>
    <w:p w14:paraId="5380C3CE">
      <w:pPr>
        <w:ind w:left="2647" w:leftChars="400" w:hanging="1807" w:hangingChars="500"/>
        <w:rPr>
          <w:rFonts w:ascii="宋体" w:hAnsi="宋体"/>
          <w:b/>
          <w:bCs/>
          <w:color w:val="000000"/>
          <w:sz w:val="36"/>
          <w:szCs w:val="36"/>
          <w:u w:val="single"/>
        </w:rPr>
      </w:pPr>
    </w:p>
    <w:bookmarkEnd w:id="0"/>
    <w:p w14:paraId="09DA91F3">
      <w:pPr>
        <w:rPr>
          <w:rFonts w:ascii="宋体" w:hAnsi="宋体"/>
          <w:b/>
          <w:color w:val="000000"/>
          <w:sz w:val="36"/>
        </w:rPr>
      </w:pPr>
    </w:p>
    <w:p w14:paraId="43EBA962">
      <w:pPr>
        <w:jc w:val="both"/>
        <w:rPr>
          <w:rFonts w:ascii="宋体" w:hAnsi="宋体"/>
          <w:b/>
          <w:color w:val="000000"/>
          <w:sz w:val="36"/>
          <w:szCs w:val="36"/>
        </w:rPr>
      </w:pPr>
    </w:p>
    <w:p w14:paraId="74B08291">
      <w:pPr>
        <w:jc w:val="center"/>
        <w:rPr>
          <w:rFonts w:ascii="宋体" w:hAnsi="宋体"/>
          <w:b/>
          <w:color w:val="000000"/>
          <w:sz w:val="36"/>
          <w:szCs w:val="36"/>
        </w:rPr>
      </w:pPr>
    </w:p>
    <w:p w14:paraId="2F62EB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39F55484">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5</w:t>
      </w:r>
      <w:r>
        <w:rPr>
          <w:rFonts w:hint="eastAsia" w:ascii="宋体" w:hAnsi="宋体"/>
          <w:color w:val="000000"/>
          <w:sz w:val="36"/>
        </w:rPr>
        <w:t>月</w:t>
      </w:r>
      <w:bookmarkEnd w:id="1"/>
    </w:p>
    <w:p w14:paraId="379F1D23">
      <w:pPr>
        <w:spacing w:line="440" w:lineRule="exact"/>
        <w:jc w:val="center"/>
        <w:rPr>
          <w:rFonts w:ascii="黑体" w:hAnsi="黑体" w:eastAsia="黑体" w:cs="黑体"/>
          <w:b/>
          <w:sz w:val="36"/>
          <w:szCs w:val="36"/>
          <w:lang w:val="zh-CN"/>
        </w:rPr>
        <w:sectPr>
          <w:headerReference r:id="rId5" w:type="first"/>
          <w:footerReference r:id="rId8" w:type="first"/>
          <w:headerReference r:id="rId3" w:type="default"/>
          <w:footerReference r:id="rId6" w:type="default"/>
          <w:headerReference r:id="rId4" w:type="even"/>
          <w:footerReference r:id="rId7" w:type="even"/>
          <w:pgSz w:w="11905" w:h="16838"/>
          <w:pgMar w:top="1440" w:right="1803" w:bottom="1440" w:left="1803" w:header="850" w:footer="992" w:gutter="0"/>
          <w:cols w:space="0" w:num="1"/>
          <w:docGrid w:type="lines" w:linePitch="317" w:charSpace="0"/>
        </w:sectPr>
      </w:pPr>
    </w:p>
    <w:p w14:paraId="2EE3C5CF">
      <w:pPr>
        <w:pStyle w:val="17"/>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62512255">
      <w:pPr>
        <w:pStyle w:val="17"/>
        <w:tabs>
          <w:tab w:val="left" w:pos="6160"/>
        </w:tabs>
        <w:rPr>
          <w:rFonts w:ascii="仿宋" w:hAnsi="仿宋" w:eastAsia="仿宋" w:cs="仿宋"/>
          <w:sz w:val="28"/>
          <w:szCs w:val="32"/>
        </w:rPr>
      </w:pPr>
      <w:r>
        <w:rPr>
          <w:rFonts w:hint="eastAsia" w:ascii="仿宋" w:hAnsi="仿宋" w:eastAsia="仿宋" w:cs="仿宋"/>
          <w:sz w:val="28"/>
          <w:szCs w:val="32"/>
        </w:rPr>
        <w:tab/>
      </w:r>
    </w:p>
    <w:p w14:paraId="25897D00">
      <w:pPr>
        <w:pStyle w:val="17"/>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磋商邀请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406A51C">
      <w:pPr>
        <w:pStyle w:val="17"/>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739B308">
      <w:pPr>
        <w:pStyle w:val="17"/>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3DA670A">
      <w:pPr>
        <w:pStyle w:val="17"/>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33D8FB8">
      <w:pPr>
        <w:pStyle w:val="17"/>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评分细则</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lang w:val="en-US" w:eastAsia="zh-CN"/>
        </w:rPr>
        <w:t>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30BBCA6">
      <w:pPr>
        <w:pStyle w:val="17"/>
        <w:tabs>
          <w:tab w:val="right" w:leader="dot" w:pos="8299"/>
        </w:tabs>
        <w:rPr>
          <w:rFonts w:ascii="仿宋" w:hAnsi="仿宋" w:eastAsia="仿宋" w:cs="仿宋"/>
          <w:sz w:val="28"/>
          <w:szCs w:val="28"/>
        </w:rPr>
      </w:pPr>
      <w:r>
        <w:rPr>
          <w:rFonts w:hint="eastAsia" w:ascii="仿宋" w:hAnsi="仿宋" w:eastAsia="仿宋" w:cs="仿宋"/>
          <w:sz w:val="28"/>
          <w:szCs w:val="28"/>
        </w:rPr>
        <w:t>第六章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lang w:val="en-US" w:eastAsia="zh-CN"/>
        </w:rPr>
        <w:t>4</w:t>
      </w:r>
      <w:r>
        <w:rPr>
          <w:rFonts w:hint="eastAsia" w:ascii="仿宋" w:hAnsi="仿宋" w:eastAsia="仿宋" w:cs="仿宋"/>
          <w:sz w:val="28"/>
          <w:szCs w:val="28"/>
        </w:rPr>
        <w:fldChar w:fldCharType="end"/>
      </w:r>
    </w:p>
    <w:p w14:paraId="61662245">
      <w:pPr>
        <w:pStyle w:val="16"/>
        <w:outlineLvl w:val="0"/>
        <w:sectPr>
          <w:headerReference r:id="rId9" w:type="default"/>
          <w:footerReference r:id="rId10"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2" w:name="_Toc15901"/>
    </w:p>
    <w:p w14:paraId="14ED68FB">
      <w:pPr>
        <w:pStyle w:val="16"/>
        <w:outlineLvl w:val="0"/>
        <w:rPr>
          <w:rFonts w:hint="eastAsia" w:ascii="仿宋" w:hAnsi="仿宋" w:eastAsia="仿宋" w:cs="仿宋"/>
          <w:kern w:val="2"/>
          <w:sz w:val="22"/>
          <w:szCs w:val="22"/>
          <w:lang w:val="en-US" w:eastAsia="zh-CN" w:bidi="ar-SA"/>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磋商邀请</w:t>
      </w:r>
      <w:bookmarkEnd w:id="2"/>
    </w:p>
    <w:tbl>
      <w:tblPr>
        <w:tblStyle w:val="22"/>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0A5C5B9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08A22A38">
            <w:pPr>
              <w:spacing w:line="360" w:lineRule="auto"/>
              <w:jc w:val="center"/>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序号</w:t>
            </w:r>
          </w:p>
        </w:tc>
        <w:tc>
          <w:tcPr>
            <w:tcW w:w="1733" w:type="dxa"/>
            <w:tcBorders>
              <w:top w:val="single" w:color="auto" w:sz="18" w:space="0"/>
            </w:tcBorders>
            <w:vAlign w:val="center"/>
          </w:tcPr>
          <w:p w14:paraId="42B710C9">
            <w:pPr>
              <w:spacing w:line="360" w:lineRule="auto"/>
              <w:jc w:val="center"/>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应知事项</w:t>
            </w:r>
          </w:p>
        </w:tc>
        <w:tc>
          <w:tcPr>
            <w:tcW w:w="6674" w:type="dxa"/>
            <w:tcBorders>
              <w:top w:val="single" w:color="auto" w:sz="18" w:space="0"/>
            </w:tcBorders>
            <w:vAlign w:val="center"/>
          </w:tcPr>
          <w:p w14:paraId="7B4BBC22">
            <w:pPr>
              <w:spacing w:line="360" w:lineRule="auto"/>
              <w:jc w:val="center"/>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说明和要求</w:t>
            </w:r>
          </w:p>
        </w:tc>
      </w:tr>
      <w:tr w14:paraId="0104773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6A44BB46">
            <w:pPr>
              <w:pStyle w:val="32"/>
              <w:numPr>
                <w:ilvl w:val="0"/>
                <w:numId w:val="4"/>
              </w:numPr>
              <w:tabs>
                <w:tab w:val="left" w:pos="220"/>
                <w:tab w:val="clear" w:pos="0"/>
              </w:tabs>
              <w:adjustRightInd w:val="0"/>
              <w:snapToGrid w:val="0"/>
              <w:jc w:val="both"/>
              <w:rPr>
                <w:rFonts w:hint="eastAsia" w:ascii="仿宋" w:hAnsi="仿宋" w:eastAsia="仿宋" w:cs="仿宋"/>
                <w:kern w:val="2"/>
                <w:sz w:val="22"/>
                <w:szCs w:val="22"/>
                <w:lang w:val="zh-CN" w:eastAsia="zh-CN" w:bidi="ar-SA"/>
              </w:rPr>
            </w:pPr>
          </w:p>
        </w:tc>
        <w:tc>
          <w:tcPr>
            <w:tcW w:w="1733" w:type="dxa"/>
            <w:tcBorders>
              <w:bottom w:val="single" w:color="auto" w:sz="4" w:space="0"/>
            </w:tcBorders>
            <w:vAlign w:val="center"/>
          </w:tcPr>
          <w:p w14:paraId="70A81A08">
            <w:pPr>
              <w:spacing w:line="360" w:lineRule="auto"/>
              <w:jc w:val="center"/>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采购人</w:t>
            </w:r>
          </w:p>
        </w:tc>
        <w:tc>
          <w:tcPr>
            <w:tcW w:w="6674" w:type="dxa"/>
            <w:tcBorders>
              <w:bottom w:val="single" w:color="auto" w:sz="4" w:space="0"/>
            </w:tcBorders>
            <w:vAlign w:val="center"/>
          </w:tcPr>
          <w:p w14:paraId="3BF6F487">
            <w:pPr>
              <w:spacing w:line="360" w:lineRule="auto"/>
              <w:ind w:left="210" w:leftChars="100" w:firstLine="1980" w:firstLineChars="900"/>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绵阳市中心医院</w:t>
            </w:r>
          </w:p>
        </w:tc>
      </w:tr>
      <w:tr w14:paraId="071FCBA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368B85C">
            <w:pPr>
              <w:pStyle w:val="32"/>
              <w:numPr>
                <w:ilvl w:val="0"/>
                <w:numId w:val="4"/>
              </w:numPr>
              <w:tabs>
                <w:tab w:val="left" w:pos="220"/>
                <w:tab w:val="clear" w:pos="0"/>
              </w:tabs>
              <w:adjustRightInd w:val="0"/>
              <w:snapToGrid w:val="0"/>
              <w:jc w:val="both"/>
              <w:rPr>
                <w:rFonts w:hint="eastAsia" w:ascii="仿宋" w:hAnsi="仿宋" w:eastAsia="仿宋" w:cs="仿宋"/>
                <w:kern w:val="2"/>
                <w:sz w:val="22"/>
                <w:szCs w:val="22"/>
                <w:lang w:val="zh-CN" w:eastAsia="zh-CN" w:bidi="ar-SA"/>
              </w:rPr>
            </w:pPr>
          </w:p>
        </w:tc>
        <w:tc>
          <w:tcPr>
            <w:tcW w:w="1733" w:type="dxa"/>
            <w:tcBorders>
              <w:bottom w:val="single" w:color="auto" w:sz="4" w:space="0"/>
            </w:tcBorders>
            <w:vAlign w:val="center"/>
          </w:tcPr>
          <w:p w14:paraId="6D4B43AB">
            <w:pPr>
              <w:spacing w:line="360" w:lineRule="auto"/>
              <w:jc w:val="center"/>
              <w:rPr>
                <w:rFonts w:hint="eastAsia" w:ascii="仿宋" w:hAnsi="仿宋" w:eastAsia="仿宋" w:cs="仿宋"/>
                <w:kern w:val="2"/>
                <w:sz w:val="22"/>
                <w:szCs w:val="22"/>
                <w:lang w:val="zh-CN" w:eastAsia="zh-CN" w:bidi="ar-SA"/>
              </w:rPr>
            </w:pPr>
            <w:r>
              <w:rPr>
                <w:rFonts w:hint="eastAsia" w:ascii="仿宋" w:hAnsi="仿宋" w:eastAsia="仿宋" w:cs="仿宋"/>
                <w:kern w:val="2"/>
                <w:sz w:val="22"/>
                <w:szCs w:val="22"/>
                <w:lang w:val="en-US" w:eastAsia="zh-CN" w:bidi="ar-SA"/>
              </w:rPr>
              <w:t>项目名称</w:t>
            </w:r>
          </w:p>
        </w:tc>
        <w:tc>
          <w:tcPr>
            <w:tcW w:w="6674" w:type="dxa"/>
            <w:tcBorders>
              <w:bottom w:val="single" w:color="auto" w:sz="4" w:space="0"/>
            </w:tcBorders>
            <w:vAlign w:val="center"/>
          </w:tcPr>
          <w:p w14:paraId="1EB134AC">
            <w:pPr>
              <w:spacing w:line="360" w:lineRule="auto"/>
              <w:ind w:firstLine="1540" w:firstLineChars="700"/>
              <w:jc w:val="left"/>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三江医院二期项目建议书编制服务</w:t>
            </w:r>
          </w:p>
        </w:tc>
      </w:tr>
      <w:tr w14:paraId="1A9F29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0746C71C">
            <w:pPr>
              <w:pStyle w:val="32"/>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77BE6A3">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0480B9D5">
            <w:pPr>
              <w:ind w:firstLine="2160" w:firstLineChars="600"/>
              <w:rPr>
                <w:rFonts w:hint="default" w:ascii="仿宋" w:hAnsi="仿宋" w:eastAsia="仿宋" w:cs="仿宋"/>
                <w:sz w:val="22"/>
                <w:lang w:val="en-US" w:eastAsia="zh-CN"/>
              </w:rPr>
            </w:pPr>
            <w:r>
              <w:rPr>
                <w:rFonts w:hint="eastAsia" w:ascii="宋体" w:hAnsi="宋体"/>
                <w:color w:val="000000"/>
                <w:sz w:val="36"/>
                <w:szCs w:val="24"/>
              </w:rPr>
              <w:t xml:space="preserve"> </w:t>
            </w:r>
            <w:r>
              <w:rPr>
                <w:rFonts w:hint="eastAsia" w:ascii="仿宋" w:hAnsi="仿宋" w:eastAsia="仿宋" w:cs="仿宋"/>
                <w:sz w:val="22"/>
              </w:rPr>
              <w:t>MYCH竞磋（202</w:t>
            </w:r>
            <w:r>
              <w:rPr>
                <w:rFonts w:hint="eastAsia" w:ascii="仿宋" w:hAnsi="仿宋" w:eastAsia="仿宋" w:cs="仿宋"/>
                <w:sz w:val="22"/>
                <w:lang w:val="en-US" w:eastAsia="zh-CN"/>
              </w:rPr>
              <w:t>6</w:t>
            </w:r>
            <w:r>
              <w:rPr>
                <w:rFonts w:hint="eastAsia" w:ascii="仿宋" w:hAnsi="仿宋" w:eastAsia="仿宋" w:cs="仿宋"/>
                <w:sz w:val="22"/>
              </w:rPr>
              <w:t>）0</w:t>
            </w:r>
            <w:r>
              <w:rPr>
                <w:rFonts w:hint="eastAsia" w:ascii="仿宋" w:hAnsi="仿宋" w:eastAsia="仿宋" w:cs="仿宋"/>
                <w:sz w:val="22"/>
                <w:lang w:val="en-US" w:eastAsia="zh-CN"/>
              </w:rPr>
              <w:t>05</w:t>
            </w:r>
            <w:r>
              <w:rPr>
                <w:rFonts w:hint="eastAsia" w:ascii="仿宋" w:hAnsi="仿宋" w:eastAsia="仿宋" w:cs="仿宋"/>
                <w:sz w:val="22"/>
              </w:rPr>
              <w:t>号</w:t>
            </w:r>
          </w:p>
        </w:tc>
      </w:tr>
      <w:tr w14:paraId="7FD4192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22DD974">
            <w:pPr>
              <w:pStyle w:val="32"/>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8375161">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409BFDB3">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4A2031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4655DEE8">
            <w:pPr>
              <w:pStyle w:val="32"/>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3FB01D2">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7D4E2472">
            <w:pPr>
              <w:spacing w:line="360" w:lineRule="auto"/>
              <w:ind w:left="210" w:leftChars="100"/>
              <w:rPr>
                <w:rFonts w:ascii="仿宋" w:hAnsi="仿宋" w:eastAsia="仿宋" w:cs="仿宋"/>
                <w:sz w:val="22"/>
              </w:rPr>
            </w:pPr>
            <w:r>
              <w:rPr>
                <w:rFonts w:hint="eastAsia" w:ascii="仿宋" w:hAnsi="仿宋" w:eastAsia="仿宋" w:cs="仿宋"/>
                <w:sz w:val="22"/>
              </w:rPr>
              <w:t>限价：</w:t>
            </w:r>
            <w:r>
              <w:rPr>
                <w:rFonts w:hint="eastAsia" w:ascii="仿宋" w:hAnsi="仿宋" w:eastAsia="仿宋" w:cs="仿宋"/>
                <w:sz w:val="22"/>
                <w:lang w:val="en-US" w:eastAsia="zh-CN"/>
              </w:rPr>
              <w:t>22万元（</w:t>
            </w:r>
            <w:r>
              <w:rPr>
                <w:rFonts w:hint="eastAsia" w:ascii="仿宋" w:hAnsi="仿宋" w:eastAsia="仿宋" w:cs="仿宋"/>
                <w:sz w:val="22"/>
              </w:rPr>
              <w:t>超过最高限价的报价，其响应文件作无效处理）</w:t>
            </w:r>
          </w:p>
        </w:tc>
      </w:tr>
      <w:tr w14:paraId="03F857D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421AD4F8">
            <w:pPr>
              <w:pStyle w:val="32"/>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D208AC2">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62C3A91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5905692B">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38F1894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6" w:hRule="atLeast"/>
        </w:trPr>
        <w:tc>
          <w:tcPr>
            <w:tcW w:w="524" w:type="dxa"/>
            <w:vAlign w:val="center"/>
          </w:tcPr>
          <w:p w14:paraId="13662706">
            <w:pPr>
              <w:pStyle w:val="32"/>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42D2D82">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19416F0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432F2E3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971B4FB">
            <w:pPr>
              <w:pStyle w:val="32"/>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75A08A2C">
            <w:pPr>
              <w:pStyle w:val="34"/>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70058DA2">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06271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5A07659C">
            <w:pPr>
              <w:pStyle w:val="32"/>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660CA9B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0812BA0E">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19187C8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5F0F9159">
            <w:pPr>
              <w:pStyle w:val="32"/>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3C7A19A">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04A543E">
            <w:pPr>
              <w:pStyle w:val="10"/>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104827CF">
            <w:pPr>
              <w:pStyle w:val="10"/>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4C17FD71">
            <w:pPr>
              <w:pStyle w:val="10"/>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623FA6EA">
            <w:pPr>
              <w:pStyle w:val="10"/>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4C98DB41">
            <w:pPr>
              <w:pStyle w:val="10"/>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46E667CE">
            <w:pPr>
              <w:pStyle w:val="10"/>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4F6B1650">
            <w:pPr>
              <w:pStyle w:val="10"/>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1C855B6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43017CE7">
            <w:pPr>
              <w:pStyle w:val="32"/>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492053">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52F8EBB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0ACA1833">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24C6D2C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49A88332">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55F31524">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17B8977">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0C319C32">
            <w:pPr>
              <w:spacing w:line="360" w:lineRule="auto"/>
              <w:ind w:left="210" w:leftChars="100"/>
              <w:rPr>
                <w:rFonts w:hint="eastAsia" w:ascii="仿宋" w:hAnsi="仿宋" w:eastAsia="仿宋" w:cs="仿宋"/>
                <w:sz w:val="24"/>
                <w:szCs w:val="24"/>
                <w:lang w:val="en-US" w:eastAsia="zh-CN"/>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w:t>
            </w:r>
            <w:r>
              <w:rPr>
                <w:rFonts w:hint="eastAsia" w:ascii="仿宋" w:hAnsi="仿宋" w:eastAsia="仿宋" w:cs="仿宋"/>
                <w:sz w:val="24"/>
                <w:szCs w:val="24"/>
                <w:lang w:val="en-US" w:eastAsia="zh-CN"/>
              </w:rPr>
              <w:t>/</w:t>
            </w:r>
          </w:p>
          <w:p w14:paraId="0B94BB0C">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60983E8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3AFAEA8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2D3A0BD2">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2156917E">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（3）除因不可抗力或磋商文件认可的情形以外，成交供应商不与采购人签订合同的;</w:t>
            </w:r>
          </w:p>
          <w:p w14:paraId="14C76CF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15A90AA1">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383C20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24C5DE0A">
            <w:pPr>
              <w:pStyle w:val="32"/>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22182857">
            <w:pPr>
              <w:pStyle w:val="33"/>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05B07782">
            <w:pPr>
              <w:pStyle w:val="33"/>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5CCD8C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C960199">
            <w:pPr>
              <w:pStyle w:val="32"/>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419AAFB4">
            <w:pPr>
              <w:pStyle w:val="33"/>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60CDF9B1">
            <w:pPr>
              <w:pStyle w:val="33"/>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25C96550">
            <w:pPr>
              <w:pStyle w:val="33"/>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4500049F">
            <w:pPr>
              <w:pStyle w:val="33"/>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2B032082">
            <w:pPr>
              <w:pStyle w:val="33"/>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7F1EC233">
            <w:pPr>
              <w:pStyle w:val="33"/>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105091EC">
            <w:pPr>
              <w:pStyle w:val="33"/>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7EA0AED7">
            <w:pPr>
              <w:pStyle w:val="33"/>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32CDF628">
            <w:pPr>
              <w:pStyle w:val="33"/>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38D2F9D1">
            <w:pPr>
              <w:pStyle w:val="33"/>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26A5610B">
            <w:pPr>
              <w:pStyle w:val="33"/>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64CE8C31">
            <w:pPr>
              <w:pStyle w:val="33"/>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1F1C9E5E">
            <w:pPr>
              <w:pStyle w:val="33"/>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244B2AD8">
            <w:pPr>
              <w:pStyle w:val="33"/>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6A165B82">
            <w:pPr>
              <w:pStyle w:val="33"/>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159958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52B6C5C9">
            <w:pPr>
              <w:pStyle w:val="32"/>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3B1070E">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40F7556B">
            <w:pPr>
              <w:spacing w:line="360" w:lineRule="auto"/>
              <w:ind w:left="210" w:leftChars="100"/>
              <w:rPr>
                <w:rFonts w:ascii="仿宋" w:hAnsi="仿宋" w:eastAsia="仿宋" w:cs="仿宋"/>
                <w:bCs/>
                <w:sz w:val="22"/>
              </w:rPr>
            </w:pPr>
            <w:r>
              <w:rPr>
                <w:rFonts w:hint="eastAsia" w:ascii="仿宋" w:hAnsi="仿宋" w:eastAsia="仿宋" w:cs="仿宋"/>
                <w:bCs/>
                <w:sz w:val="22"/>
              </w:rPr>
              <w:t>综合评分法</w:t>
            </w:r>
          </w:p>
          <w:p w14:paraId="539728E0">
            <w:pPr>
              <w:spacing w:line="360" w:lineRule="auto"/>
              <w:ind w:left="210" w:leftChars="100" w:firstLine="440" w:firstLineChars="200"/>
              <w:rPr>
                <w:rFonts w:ascii="仿宋" w:hAnsi="仿宋" w:eastAsia="仿宋" w:cs="仿宋"/>
                <w:kern w:val="0"/>
                <w:sz w:val="22"/>
                <w:lang w:val="zh-CN"/>
              </w:rPr>
            </w:pPr>
            <w:r>
              <w:rPr>
                <w:rFonts w:hint="eastAsia" w:ascii="仿宋" w:hAnsi="仿宋" w:eastAsia="仿宋" w:cs="仿宋"/>
                <w:bCs/>
                <w:sz w:val="22"/>
              </w:rPr>
              <w:t>通过资格、符合性审查且满足谈判文件全部实质性要求的供应商评审小组按照评审因素进行评分，得分最高的供应商为成交供应商。若得分相同则报价最低的为成交供应商，若报价相同且所有技术、服务及商务要求响应情况均一致则采取随机抽取的方式确定成交供应商。</w:t>
            </w:r>
          </w:p>
        </w:tc>
      </w:tr>
      <w:tr w14:paraId="58EBAB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5EFE8092">
            <w:pPr>
              <w:pStyle w:val="32"/>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F0FA324">
            <w:pPr>
              <w:pStyle w:val="33"/>
              <w:spacing w:line="360" w:lineRule="auto"/>
              <w:jc w:val="center"/>
              <w:rPr>
                <w:rFonts w:ascii="仿宋" w:hAnsi="仿宋" w:eastAsia="仿宋" w:cs="仿宋"/>
                <w:sz w:val="22"/>
                <w:szCs w:val="22"/>
              </w:rPr>
            </w:pPr>
            <w:r>
              <w:rPr>
                <w:rFonts w:hint="eastAsia" w:ascii="仿宋" w:hAnsi="仿宋" w:eastAsia="仿宋" w:cs="仿宋"/>
                <w:sz w:val="22"/>
                <w:szCs w:val="22"/>
              </w:rPr>
              <w:t>磋商文件</w:t>
            </w:r>
          </w:p>
          <w:p w14:paraId="15BA08EA">
            <w:pPr>
              <w:pStyle w:val="33"/>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256B264A">
            <w:pPr>
              <w:pStyle w:val="33"/>
              <w:spacing w:line="360" w:lineRule="auto"/>
              <w:ind w:left="218" w:leftChars="104"/>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绵阳市中心医院官网采购公告中获取</w:t>
            </w:r>
          </w:p>
        </w:tc>
      </w:tr>
      <w:tr w14:paraId="3D6D272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3282A2BA">
            <w:pPr>
              <w:pStyle w:val="32"/>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12D730A">
            <w:pPr>
              <w:pStyle w:val="33"/>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1D644BDA">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091093D6">
            <w:pPr>
              <w:pStyle w:val="34"/>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0726EA3C">
            <w:pPr>
              <w:pStyle w:val="34"/>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r>
              <w:rPr>
                <w:rFonts w:hint="eastAsia" w:ascii="仿宋" w:hAnsi="仿宋" w:eastAsia="仿宋" w:cs="仿宋"/>
                <w:sz w:val="22"/>
                <w:lang w:val="en-US" w:eastAsia="zh-CN"/>
              </w:rPr>
              <w:t>/</w:t>
            </w:r>
          </w:p>
          <w:p w14:paraId="1966CC30">
            <w:pPr>
              <w:pStyle w:val="33"/>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AD643C7">
            <w:pPr>
              <w:pStyle w:val="33"/>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响应文件应在提交响应文件截止时间前送达磋商地点；</w:t>
            </w:r>
          </w:p>
          <w:p w14:paraId="2DAC8343">
            <w:pPr>
              <w:pStyle w:val="33"/>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u w:val="single"/>
              </w:rPr>
              <w:t xml:space="preserve">  </w:t>
            </w:r>
            <w:r>
              <w:rPr>
                <w:rFonts w:hint="eastAsia" w:ascii="仿宋" w:hAnsi="仿宋" w:eastAsia="仿宋" w:cs="仿宋"/>
                <w:sz w:val="22"/>
                <w:szCs w:val="22"/>
                <w:u w:val="single"/>
                <w:lang w:val="en-US" w:eastAsia="zh-CN"/>
              </w:rPr>
              <w:t>/</w:t>
            </w:r>
            <w:r>
              <w:rPr>
                <w:rFonts w:hint="eastAsia" w:ascii="仿宋" w:hAnsi="仿宋" w:eastAsia="仿宋" w:cs="仿宋"/>
                <w:sz w:val="22"/>
                <w:szCs w:val="22"/>
              </w:rPr>
              <w:t>份</w:t>
            </w:r>
          </w:p>
          <w:p w14:paraId="235739CA">
            <w:pPr>
              <w:pStyle w:val="33"/>
              <w:spacing w:line="360" w:lineRule="auto"/>
              <w:ind w:left="218" w:leftChars="104"/>
              <w:jc w:val="both"/>
              <w:rPr>
                <w:rFonts w:ascii="仿宋" w:hAnsi="仿宋" w:eastAsia="仿宋" w:cs="仿宋"/>
                <w:bCs/>
                <w:kern w:val="2"/>
                <w:sz w:val="20"/>
                <w:szCs w:val="20"/>
              </w:rPr>
            </w:pPr>
            <w:r>
              <w:rPr>
                <w:rFonts w:hint="eastAsia" w:ascii="仿宋" w:hAnsi="仿宋" w:eastAsia="仿宋" w:cs="仿宋"/>
                <w:bCs/>
                <w:kern w:val="2"/>
                <w:sz w:val="20"/>
                <w:szCs w:val="20"/>
              </w:rPr>
              <w:t>注：响应文件应在提交响应文件截止时间前提交；未按方式提交或逾期送达响应文件恕不接收。</w:t>
            </w:r>
          </w:p>
        </w:tc>
      </w:tr>
      <w:tr w14:paraId="2E72590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27B4CB68">
            <w:pPr>
              <w:pStyle w:val="32"/>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941E393">
            <w:pPr>
              <w:pStyle w:val="33"/>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25E4AA6F">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4E3686D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1A9146FA">
            <w:pPr>
              <w:pStyle w:val="32"/>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BD0DD15">
            <w:pPr>
              <w:pStyle w:val="33"/>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63C483B">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214A54EF">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eastAsia="zh-CN"/>
              </w:rPr>
              <w:t>刘</w:t>
            </w:r>
            <w:r>
              <w:rPr>
                <w:rFonts w:hint="eastAsia" w:ascii="仿宋" w:hAnsi="仿宋" w:eastAsia="仿宋" w:cs="仿宋"/>
                <w:sz w:val="22"/>
              </w:rPr>
              <w:t>老师 18081208357</w:t>
            </w:r>
          </w:p>
          <w:p w14:paraId="6351DCE3">
            <w:pPr>
              <w:spacing w:line="360" w:lineRule="auto"/>
              <w:ind w:left="210" w:leftChars="100"/>
              <w:rPr>
                <w:rFonts w:hint="eastAsia" w:ascii="仿宋" w:hAnsi="仿宋" w:eastAsia="仿宋" w:cs="仿宋"/>
                <w:b/>
                <w:bCs/>
                <w:sz w:val="22"/>
                <w:lang w:val="en-US" w:eastAsia="zh-CN"/>
              </w:rPr>
            </w:pPr>
            <w:r>
              <w:rPr>
                <w:rFonts w:hint="eastAsia" w:ascii="仿宋" w:hAnsi="仿宋" w:eastAsia="仿宋" w:cs="仿宋"/>
                <w:b/>
                <w:bCs/>
                <w:sz w:val="22"/>
              </w:rPr>
              <w:t xml:space="preserve">（2）主管部门： </w:t>
            </w:r>
            <w:r>
              <w:rPr>
                <w:rFonts w:hint="eastAsia" w:ascii="仿宋" w:hAnsi="仿宋" w:eastAsia="仿宋" w:cs="仿宋"/>
                <w:b/>
                <w:bCs/>
                <w:sz w:val="22"/>
                <w:lang w:val="en-US" w:eastAsia="zh-CN"/>
              </w:rPr>
              <w:t>基本建设科</w:t>
            </w:r>
          </w:p>
          <w:p w14:paraId="42276EBF">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黄</w:t>
            </w:r>
            <w:r>
              <w:rPr>
                <w:rFonts w:hint="eastAsia" w:ascii="仿宋" w:hAnsi="仿宋" w:eastAsia="仿宋" w:cs="仿宋"/>
                <w:sz w:val="22"/>
                <w:lang w:eastAsia="zh-CN"/>
              </w:rPr>
              <w:t>老师</w:t>
            </w:r>
            <w:r>
              <w:rPr>
                <w:rFonts w:hint="eastAsia" w:ascii="仿宋" w:hAnsi="仿宋" w:eastAsia="仿宋" w:cs="仿宋"/>
                <w:sz w:val="22"/>
                <w:lang w:val="en-US" w:eastAsia="zh-CN"/>
              </w:rPr>
              <w:t xml:space="preserve"> 15882789175</w:t>
            </w:r>
          </w:p>
          <w:p w14:paraId="1541199A">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49F1B909">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0290FDF5">
            <w:pPr>
              <w:spacing w:line="360" w:lineRule="auto"/>
              <w:ind w:left="210" w:leftChars="100"/>
              <w:rPr>
                <w:rFonts w:ascii="仿宋" w:hAnsi="仿宋" w:eastAsia="仿宋" w:cs="仿宋"/>
                <w:sz w:val="22"/>
              </w:rPr>
            </w:pPr>
          </w:p>
        </w:tc>
      </w:tr>
    </w:tbl>
    <w:p w14:paraId="1D6FB75F">
      <w:pPr>
        <w:pStyle w:val="29"/>
        <w:numPr>
          <w:ilvl w:val="4"/>
          <w:numId w:val="0"/>
        </w:numPr>
        <w:outlineLvl w:val="9"/>
      </w:pPr>
    </w:p>
    <w:p w14:paraId="44A806F1"/>
    <w:p w14:paraId="7218DC45">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22"/>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954"/>
        <w:gridCol w:w="6867"/>
      </w:tblGrid>
      <w:tr w14:paraId="12CAF8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tcBorders>
            <w:vAlign w:val="center"/>
          </w:tcPr>
          <w:p w14:paraId="7019E11E">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954" w:type="dxa"/>
            <w:tcBorders>
              <w:top w:val="single" w:color="auto" w:sz="18" w:space="0"/>
            </w:tcBorders>
            <w:vAlign w:val="center"/>
          </w:tcPr>
          <w:p w14:paraId="4300332C">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867" w:type="dxa"/>
            <w:tcBorders>
              <w:top w:val="single" w:color="auto" w:sz="18" w:space="0"/>
            </w:tcBorders>
            <w:vAlign w:val="center"/>
          </w:tcPr>
          <w:p w14:paraId="0C01C3A4">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205B93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2B394E24">
            <w:pPr>
              <w:pStyle w:val="32"/>
              <w:numPr>
                <w:ilvl w:val="0"/>
                <w:numId w:val="12"/>
              </w:numPr>
              <w:tabs>
                <w:tab w:val="left" w:pos="220"/>
              </w:tabs>
              <w:adjustRightInd w:val="0"/>
              <w:snapToGrid w:val="0"/>
              <w:rPr>
                <w:rFonts w:ascii="仿宋" w:hAnsi="仿宋" w:eastAsia="仿宋" w:cs="仿宋"/>
                <w:szCs w:val="21"/>
              </w:rPr>
            </w:pPr>
          </w:p>
        </w:tc>
        <w:tc>
          <w:tcPr>
            <w:tcW w:w="1954" w:type="dxa"/>
            <w:vAlign w:val="center"/>
          </w:tcPr>
          <w:p w14:paraId="2FBE7F05">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867" w:type="dxa"/>
            <w:vAlign w:val="center"/>
          </w:tcPr>
          <w:p w14:paraId="79CD6284">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29EADBDA">
            <w:pPr>
              <w:spacing w:line="360" w:lineRule="auto"/>
              <w:ind w:left="210" w:leftChars="100"/>
              <w:rPr>
                <w:rFonts w:ascii="仿宋" w:hAnsi="仿宋" w:eastAsia="仿宋" w:cs="仿宋"/>
                <w:sz w:val="22"/>
              </w:rPr>
            </w:pPr>
            <w:r>
              <w:rPr>
                <w:rFonts w:hint="eastAsia" w:ascii="仿宋" w:hAnsi="仿宋" w:eastAsia="仿宋" w:cs="仿宋"/>
                <w:sz w:val="22"/>
              </w:rPr>
              <w:t>（2）报价应是完成磋商项目全部工作内容的价格体现，是最终用户验收合格后的总价，包含了供应商完成本项目所需的一切费用，即项目包干价。</w:t>
            </w:r>
          </w:p>
          <w:p w14:paraId="1F60788F">
            <w:pPr>
              <w:spacing w:line="360" w:lineRule="auto"/>
              <w:ind w:left="210" w:leftChars="100"/>
              <w:rPr>
                <w:rFonts w:hint="eastAsia" w:ascii="仿宋" w:hAnsi="仿宋" w:eastAsia="仿宋" w:cs="仿宋"/>
                <w:sz w:val="22"/>
                <w:lang w:val="en-US" w:eastAsia="zh-CN"/>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40084FA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vAlign w:val="center"/>
          </w:tcPr>
          <w:p w14:paraId="51E89EFE">
            <w:pPr>
              <w:pStyle w:val="32"/>
              <w:numPr>
                <w:ilvl w:val="0"/>
                <w:numId w:val="12"/>
              </w:numPr>
              <w:tabs>
                <w:tab w:val="left" w:pos="220"/>
              </w:tabs>
              <w:adjustRightInd w:val="0"/>
              <w:snapToGrid w:val="0"/>
              <w:rPr>
                <w:rFonts w:ascii="仿宋" w:hAnsi="仿宋" w:eastAsia="仿宋" w:cs="仿宋"/>
                <w:szCs w:val="21"/>
              </w:rPr>
            </w:pPr>
          </w:p>
        </w:tc>
        <w:tc>
          <w:tcPr>
            <w:tcW w:w="1954" w:type="dxa"/>
            <w:vAlign w:val="center"/>
          </w:tcPr>
          <w:p w14:paraId="3E82E29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6867" w:type="dxa"/>
            <w:vAlign w:val="center"/>
          </w:tcPr>
          <w:p w14:paraId="5F4EADA1">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5E9455F">
            <w:pPr>
              <w:spacing w:line="360" w:lineRule="auto"/>
              <w:ind w:left="210" w:leftChars="100"/>
              <w:rPr>
                <w:rFonts w:ascii="仿宋" w:hAnsi="仿宋" w:eastAsia="仿宋" w:cs="仿宋"/>
                <w:sz w:val="22"/>
              </w:rPr>
            </w:pPr>
            <w:r>
              <w:rPr>
                <w:rFonts w:hint="eastAsia" w:ascii="仿宋" w:hAnsi="仿宋" w:eastAsia="仿宋" w:cs="仿宋"/>
                <w:sz w:val="22"/>
              </w:rPr>
              <w:t>供应商应仔细阅读本磋商文件，按磋商文件第六章“响应文件格式”进行编制，供应商在编制响应文件时应使用该章所附格式；该章未规定格式的，由供应商根据实际情况自主编制，但不得影响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242C8B06">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1425680B">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73655DB8">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7A4B5981">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23765EA2">
            <w:pPr>
              <w:spacing w:line="360" w:lineRule="auto"/>
              <w:ind w:left="210" w:leftChars="100"/>
              <w:rPr>
                <w:rFonts w:ascii="仿宋" w:hAnsi="仿宋" w:eastAsia="仿宋" w:cs="仿宋"/>
                <w:sz w:val="22"/>
              </w:rPr>
            </w:pPr>
            <w:r>
              <w:rPr>
                <w:rFonts w:hint="eastAsia" w:ascii="仿宋" w:hAnsi="仿宋" w:eastAsia="仿宋" w:cs="仿宋"/>
                <w:sz w:val="22"/>
              </w:rPr>
              <w:t>响应文件应根据磋商文件的要求签署、盖章；</w:t>
            </w:r>
          </w:p>
        </w:tc>
      </w:tr>
      <w:tr w14:paraId="0B6CF3C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2CFEBE8">
            <w:pPr>
              <w:pStyle w:val="32"/>
              <w:numPr>
                <w:ilvl w:val="0"/>
                <w:numId w:val="12"/>
              </w:numPr>
              <w:tabs>
                <w:tab w:val="left" w:pos="220"/>
              </w:tabs>
              <w:adjustRightInd w:val="0"/>
              <w:snapToGrid w:val="0"/>
              <w:rPr>
                <w:rFonts w:ascii="仿宋" w:hAnsi="仿宋" w:eastAsia="仿宋" w:cs="仿宋"/>
                <w:szCs w:val="21"/>
              </w:rPr>
            </w:pPr>
          </w:p>
        </w:tc>
        <w:tc>
          <w:tcPr>
            <w:tcW w:w="1954" w:type="dxa"/>
            <w:vAlign w:val="center"/>
          </w:tcPr>
          <w:p w14:paraId="7534908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867" w:type="dxa"/>
            <w:vAlign w:val="center"/>
          </w:tcPr>
          <w:p w14:paraId="447013A6">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评审小组根据磋商文件对供应商的响应文件进行资格审查、符合性审查及其他有效性审查。评审小组将根据实际情况，在评审现场确定变动采购需求中的技术、商务和其他要求的，将与所有供应商进行磋商；</w:t>
            </w:r>
            <w:r>
              <w:rPr>
                <w:rFonts w:ascii="仿宋" w:hAnsi="仿宋" w:eastAsia="仿宋" w:cs="仿宋"/>
                <w:sz w:val="22"/>
              </w:rPr>
              <w:t xml:space="preserve"> </w:t>
            </w:r>
          </w:p>
          <w:p w14:paraId="5E04563F">
            <w:pPr>
              <w:spacing w:line="360" w:lineRule="auto"/>
              <w:ind w:left="210" w:leftChars="100"/>
              <w:rPr>
                <w:rFonts w:ascii="仿宋" w:hAnsi="仿宋" w:eastAsia="仿宋" w:cs="仿宋"/>
                <w:sz w:val="22"/>
              </w:rPr>
            </w:pPr>
            <w:r>
              <w:rPr>
                <w:rFonts w:hint="eastAsia" w:ascii="仿宋" w:hAnsi="仿宋" w:eastAsia="仿宋" w:cs="仿宋"/>
                <w:sz w:val="22"/>
              </w:rPr>
              <w:t>（2）磋商后，进行二轮报价或多轮报价，供应商次轮报价不得高于上轮报价，以供应商的最终报价作为有效报价参与评审；</w:t>
            </w:r>
          </w:p>
          <w:p w14:paraId="02255962">
            <w:pPr>
              <w:spacing w:line="360" w:lineRule="auto"/>
              <w:ind w:left="210" w:leftChars="100"/>
              <w:rPr>
                <w:rFonts w:ascii="仿宋" w:hAnsi="仿宋" w:eastAsia="仿宋" w:cs="仿宋"/>
                <w:sz w:val="22"/>
              </w:rPr>
            </w:pPr>
            <w:r>
              <w:rPr>
                <w:rFonts w:hint="eastAsia" w:ascii="仿宋" w:hAnsi="仿宋" w:eastAsia="仿宋" w:cs="仿宋"/>
                <w:sz w:val="22"/>
              </w:rPr>
              <w:t>（3）磋商当天，供应商应保证磋商文件中所写明的法定代表人或委托代理人的联系方式（手机或邮箱）的畅通，并确保其具备与采购人就本项目进行磋商。</w:t>
            </w:r>
          </w:p>
        </w:tc>
      </w:tr>
      <w:tr w14:paraId="1DC421C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vAlign w:val="center"/>
          </w:tcPr>
          <w:p w14:paraId="52E9BFCC">
            <w:pPr>
              <w:pStyle w:val="32"/>
              <w:numPr>
                <w:ilvl w:val="0"/>
                <w:numId w:val="12"/>
              </w:numPr>
              <w:tabs>
                <w:tab w:val="left" w:pos="220"/>
              </w:tabs>
              <w:adjustRightInd w:val="0"/>
              <w:snapToGrid w:val="0"/>
              <w:rPr>
                <w:rFonts w:ascii="仿宋" w:hAnsi="仿宋" w:eastAsia="仿宋" w:cs="仿宋"/>
                <w:szCs w:val="21"/>
              </w:rPr>
            </w:pPr>
          </w:p>
        </w:tc>
        <w:tc>
          <w:tcPr>
            <w:tcW w:w="1954" w:type="dxa"/>
            <w:vAlign w:val="center"/>
          </w:tcPr>
          <w:p w14:paraId="359A8F7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6867" w:type="dxa"/>
            <w:vAlign w:val="center"/>
          </w:tcPr>
          <w:p w14:paraId="37F598D8">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130C8521">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12D81B29">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259268D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19FF16B2">
            <w:pPr>
              <w:pStyle w:val="32"/>
              <w:numPr>
                <w:ilvl w:val="0"/>
                <w:numId w:val="12"/>
              </w:numPr>
              <w:tabs>
                <w:tab w:val="left" w:pos="220"/>
              </w:tabs>
              <w:adjustRightInd w:val="0"/>
              <w:snapToGrid w:val="0"/>
              <w:rPr>
                <w:rFonts w:ascii="仿宋" w:hAnsi="仿宋" w:eastAsia="仿宋" w:cs="仿宋"/>
                <w:szCs w:val="21"/>
              </w:rPr>
            </w:pPr>
          </w:p>
        </w:tc>
        <w:tc>
          <w:tcPr>
            <w:tcW w:w="1954" w:type="dxa"/>
            <w:vAlign w:val="center"/>
          </w:tcPr>
          <w:p w14:paraId="0E4AB806">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867" w:type="dxa"/>
            <w:vAlign w:val="center"/>
          </w:tcPr>
          <w:p w14:paraId="34DBA250">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磋商文件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0AD4CE7F">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18EF91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vAlign w:val="center"/>
          </w:tcPr>
          <w:p w14:paraId="2BA75736">
            <w:pPr>
              <w:pStyle w:val="32"/>
              <w:numPr>
                <w:ilvl w:val="0"/>
                <w:numId w:val="12"/>
              </w:numPr>
              <w:tabs>
                <w:tab w:val="left" w:pos="220"/>
              </w:tabs>
              <w:adjustRightInd w:val="0"/>
              <w:snapToGrid w:val="0"/>
              <w:rPr>
                <w:rFonts w:ascii="仿宋" w:hAnsi="仿宋" w:eastAsia="仿宋" w:cs="仿宋"/>
                <w:szCs w:val="21"/>
              </w:rPr>
            </w:pPr>
          </w:p>
        </w:tc>
        <w:tc>
          <w:tcPr>
            <w:tcW w:w="1954" w:type="dxa"/>
            <w:vAlign w:val="center"/>
          </w:tcPr>
          <w:p w14:paraId="3010DE8F">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867" w:type="dxa"/>
            <w:vAlign w:val="center"/>
          </w:tcPr>
          <w:p w14:paraId="5507A534">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70DBEB7F">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供应商将在磋商项目实施过程中采用自有或者第三方知识产权的，使用该知识产权后，供应商需提供开发接口和开发手册等技术资料，并承诺提供无限期支持，采购人享有使用权（含采购人委托第三方在该项目后续开发的使用权）；</w:t>
            </w:r>
          </w:p>
          <w:p w14:paraId="63D1D018">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3</w:t>
            </w:r>
            <w:r>
              <w:rPr>
                <w:rFonts w:hint="eastAsia" w:ascii="仿宋" w:hAnsi="仿宋" w:eastAsia="仿宋" w:cs="仿宋"/>
                <w:sz w:val="22"/>
                <w:lang w:val="zh-TW"/>
              </w:rPr>
              <w:t>）如采用供应商所不拥有的知识产权，则在报价中必须包括合法获取该知识产权的相关费用。</w:t>
            </w:r>
          </w:p>
        </w:tc>
      </w:tr>
      <w:tr w14:paraId="6CDD8A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1AF04B4E">
            <w:pPr>
              <w:pStyle w:val="32"/>
              <w:numPr>
                <w:ilvl w:val="0"/>
                <w:numId w:val="12"/>
              </w:numPr>
              <w:tabs>
                <w:tab w:val="left" w:pos="220"/>
              </w:tabs>
              <w:adjustRightInd w:val="0"/>
              <w:snapToGrid w:val="0"/>
              <w:rPr>
                <w:rFonts w:ascii="仿宋" w:hAnsi="仿宋" w:eastAsia="仿宋" w:cs="仿宋"/>
                <w:szCs w:val="21"/>
              </w:rPr>
            </w:pPr>
          </w:p>
        </w:tc>
        <w:tc>
          <w:tcPr>
            <w:tcW w:w="1954" w:type="dxa"/>
            <w:vAlign w:val="center"/>
          </w:tcPr>
          <w:p w14:paraId="4BFF321B">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867" w:type="dxa"/>
            <w:vAlign w:val="center"/>
          </w:tcPr>
          <w:p w14:paraId="0A9BC69C">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pacing w:line="360" w:lineRule="auto"/>
              <w:ind w:left="210" w:leftChars="100"/>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pacing w:line="360" w:lineRule="auto"/>
              <w:ind w:left="454" w:leftChars="0" w:hanging="171" w:firstLineChars="0"/>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0EBAF95E">
            <w:pPr>
              <w:spacing w:line="360" w:lineRule="auto"/>
              <w:ind w:firstLine="221" w:firstLineChars="100"/>
              <w:rPr>
                <w:rFonts w:hint="eastAsia" w:ascii="Times New Roman" w:hAnsi="Times New Roman" w:eastAsia="仿宋" w:cs="Times New Roman"/>
                <w:kern w:val="0"/>
                <w:sz w:val="22"/>
                <w:lang w:val="en-US" w:eastAsia="zh-CN"/>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r>
              <w:rPr>
                <w:rFonts w:hint="eastAsia" w:ascii="仿宋" w:hAnsi="仿宋" w:eastAsia="仿宋" w:cs="仿宋"/>
                <w:sz w:val="22"/>
                <w:lang w:val="zh-TW" w:eastAsia="zh-CN"/>
              </w:rPr>
              <w:t>。</w:t>
            </w:r>
          </w:p>
        </w:tc>
      </w:tr>
      <w:tr w14:paraId="6169AB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01507D02">
            <w:pPr>
              <w:pStyle w:val="32"/>
              <w:numPr>
                <w:ilvl w:val="0"/>
                <w:numId w:val="12"/>
              </w:numPr>
              <w:tabs>
                <w:tab w:val="left" w:pos="220"/>
              </w:tabs>
              <w:adjustRightInd w:val="0"/>
              <w:snapToGrid w:val="0"/>
              <w:rPr>
                <w:rFonts w:ascii="仿宋" w:hAnsi="仿宋" w:eastAsia="仿宋" w:cs="仿宋"/>
                <w:szCs w:val="21"/>
              </w:rPr>
            </w:pPr>
          </w:p>
        </w:tc>
        <w:tc>
          <w:tcPr>
            <w:tcW w:w="1954" w:type="dxa"/>
            <w:vAlign w:val="center"/>
          </w:tcPr>
          <w:p w14:paraId="619696C4">
            <w:pPr>
              <w:pStyle w:val="33"/>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磋商文件澄清、修改</w:t>
            </w:r>
          </w:p>
        </w:tc>
        <w:tc>
          <w:tcPr>
            <w:tcW w:w="6867" w:type="dxa"/>
            <w:vAlign w:val="center"/>
          </w:tcPr>
          <w:p w14:paraId="3DB3B024">
            <w:pPr>
              <w:pStyle w:val="33"/>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采购人在采购期间发出的一切澄清、修改均为磋商文件的有效组成部分。</w:t>
            </w:r>
          </w:p>
        </w:tc>
      </w:tr>
      <w:tr w14:paraId="53C9385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1490C4D1">
            <w:pPr>
              <w:pStyle w:val="32"/>
              <w:numPr>
                <w:ilvl w:val="0"/>
                <w:numId w:val="12"/>
              </w:numPr>
              <w:tabs>
                <w:tab w:val="left" w:pos="220"/>
              </w:tabs>
              <w:adjustRightInd w:val="0"/>
              <w:snapToGrid w:val="0"/>
              <w:rPr>
                <w:rFonts w:ascii="仿宋" w:hAnsi="仿宋" w:eastAsia="仿宋" w:cs="仿宋"/>
                <w:szCs w:val="21"/>
              </w:rPr>
            </w:pPr>
          </w:p>
        </w:tc>
        <w:tc>
          <w:tcPr>
            <w:tcW w:w="1954" w:type="dxa"/>
            <w:vAlign w:val="center"/>
          </w:tcPr>
          <w:p w14:paraId="0DC264AD">
            <w:pPr>
              <w:pStyle w:val="33"/>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867" w:type="dxa"/>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2212B0FA">
            <w:pPr>
              <w:pStyle w:val="33"/>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注：</w:t>
            </w:r>
          </w:p>
          <w:p w14:paraId="2C8F9CBE">
            <w:pPr>
              <w:pStyle w:val="33"/>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1.供应商质疑不得超出采购文件、采购过程、采购结果的范围；</w:t>
            </w:r>
          </w:p>
          <w:p w14:paraId="6A880101">
            <w:pPr>
              <w:pStyle w:val="33"/>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2.</w:t>
            </w:r>
            <w:r>
              <w:rPr>
                <w:rFonts w:ascii="Times New Roman" w:hAnsi="Times New Roman" w:eastAsia="仿宋" w:cs="Times New Roman"/>
                <w:sz w:val="22"/>
                <w:szCs w:val="22"/>
              </w:rPr>
              <w:t>供应商针对同一采购程序环节的质疑应一次性提出</w:t>
            </w:r>
            <w:r>
              <w:rPr>
                <w:rFonts w:hint="eastAsia" w:ascii="Times New Roman" w:hAnsi="Times New Roman" w:eastAsia="仿宋" w:cs="Times New Roman"/>
                <w:sz w:val="22"/>
                <w:szCs w:val="22"/>
              </w:rPr>
              <w:t>；</w:t>
            </w:r>
          </w:p>
          <w:p w14:paraId="52A55AF8">
            <w:pPr>
              <w:pStyle w:val="33"/>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3.质疑相关资料要求：</w:t>
            </w:r>
          </w:p>
          <w:p w14:paraId="5BA8F61A">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4535BDE9">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774E57ED">
            <w:pPr>
              <w:pStyle w:val="33"/>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sz w:val="22"/>
              </w:rPr>
              <w:t>（3）签字盖章：质疑供应商为自然人的，由本人签字；供应商为法人或者其他组织的，由法定代表人、主要负责人，或者其授权代表签字或者盖章，并加盖公章。</w:t>
            </w:r>
          </w:p>
        </w:tc>
      </w:tr>
      <w:tr w14:paraId="5F575F2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6B7E8608">
            <w:pPr>
              <w:pStyle w:val="32"/>
              <w:numPr>
                <w:ilvl w:val="0"/>
                <w:numId w:val="12"/>
              </w:numPr>
              <w:tabs>
                <w:tab w:val="left" w:pos="220"/>
              </w:tabs>
              <w:adjustRightInd w:val="0"/>
              <w:snapToGrid w:val="0"/>
              <w:rPr>
                <w:rFonts w:ascii="仿宋" w:hAnsi="仿宋" w:eastAsia="仿宋" w:cs="仿宋"/>
                <w:szCs w:val="21"/>
              </w:rPr>
            </w:pPr>
          </w:p>
        </w:tc>
        <w:tc>
          <w:tcPr>
            <w:tcW w:w="1954" w:type="dxa"/>
            <w:vAlign w:val="center"/>
          </w:tcPr>
          <w:p w14:paraId="103580E3">
            <w:pPr>
              <w:pStyle w:val="33"/>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867" w:type="dxa"/>
            <w:vAlign w:val="center"/>
          </w:tcPr>
          <w:p w14:paraId="02F9C6CD">
            <w:pPr>
              <w:pStyle w:val="33"/>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）磋商完成后，采购人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32708E73">
            <w:pPr>
              <w:pStyle w:val="33"/>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0178840E">
            <w:pPr>
              <w:pStyle w:val="33"/>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02E940AB">
            <w:pPr>
              <w:pStyle w:val="33"/>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1EBDDD6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vAlign w:val="center"/>
          </w:tcPr>
          <w:p w14:paraId="281694E6">
            <w:pPr>
              <w:pStyle w:val="32"/>
              <w:numPr>
                <w:ilvl w:val="0"/>
                <w:numId w:val="12"/>
              </w:numPr>
              <w:tabs>
                <w:tab w:val="left" w:pos="220"/>
              </w:tabs>
              <w:adjustRightInd w:val="0"/>
              <w:snapToGrid w:val="0"/>
              <w:rPr>
                <w:rFonts w:ascii="仿宋" w:hAnsi="仿宋" w:eastAsia="仿宋" w:cs="仿宋"/>
                <w:szCs w:val="21"/>
              </w:rPr>
            </w:pPr>
          </w:p>
        </w:tc>
        <w:tc>
          <w:tcPr>
            <w:tcW w:w="1954" w:type="dxa"/>
            <w:vAlign w:val="center"/>
          </w:tcPr>
          <w:p w14:paraId="774B758E">
            <w:pPr>
              <w:pStyle w:val="33"/>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867" w:type="dxa"/>
            <w:vAlign w:val="center"/>
          </w:tcPr>
          <w:p w14:paraId="449E1244">
            <w:pPr>
              <w:pStyle w:val="33"/>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磋商</w:t>
            </w:r>
            <w:r>
              <w:rPr>
                <w:rFonts w:hint="eastAsia" w:ascii="Times New Roman" w:hAnsi="Times New Roman" w:eastAsia="仿宋" w:cs="Times New Roman"/>
                <w:sz w:val="22"/>
                <w:szCs w:val="22"/>
                <w:lang w:val="zh-CN"/>
              </w:rPr>
              <w:t>产生的一切费用由供应商自行承担；</w:t>
            </w:r>
          </w:p>
          <w:p w14:paraId="3F1DFD5E">
            <w:pPr>
              <w:pStyle w:val="33"/>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本文件的第一章、第二章均为实质性要求，供应商应当符合；</w:t>
            </w:r>
          </w:p>
          <w:p w14:paraId="7B013797">
            <w:pPr>
              <w:pStyle w:val="33"/>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“采购人”系指本次组织磋商的绵阳市中心医院；</w:t>
            </w:r>
          </w:p>
          <w:p w14:paraId="522CE44C">
            <w:pPr>
              <w:pStyle w:val="33"/>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“供应商”“响应供应商”系获取了磋商文件拟参加磋商和向采购人提供货物及相应服务的供应商；</w:t>
            </w:r>
          </w:p>
          <w:p w14:paraId="326A8241">
            <w:pPr>
              <w:pStyle w:val="33"/>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13742E55">
            <w:pPr>
              <w:pStyle w:val="33"/>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本采购项目由采购人纪委办公室监督管理。</w:t>
            </w:r>
          </w:p>
          <w:p w14:paraId="15141B1C">
            <w:pPr>
              <w:pStyle w:val="33"/>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本磋商文件最终解释权归采购人所有。</w:t>
            </w:r>
          </w:p>
        </w:tc>
      </w:tr>
    </w:tbl>
    <w:p w14:paraId="5155C618">
      <w:r>
        <w:br w:type="page"/>
      </w:r>
    </w:p>
    <w:p w14:paraId="7D03FA28">
      <w:pPr>
        <w:pStyle w:val="2"/>
        <w:numPr>
          <w:ilvl w:val="0"/>
          <w:numId w:val="0"/>
        </w:numPr>
        <w:ind w:left="402"/>
        <w:rPr>
          <w:rFonts w:ascii="黑体" w:hAnsi="黑体" w:cs="黑体"/>
          <w:szCs w:val="32"/>
        </w:rPr>
      </w:pPr>
      <w:bookmarkStart w:id="4" w:name="_Toc19400"/>
      <w:bookmarkStart w:id="5" w:name="_Toc28050"/>
      <w:bookmarkStart w:id="6" w:name="_Toc5431"/>
      <w:r>
        <w:rPr>
          <w:rFonts w:hint="eastAsia"/>
        </w:rPr>
        <w:t xml:space="preserve">第三章 </w:t>
      </w:r>
      <w:r>
        <w:t xml:space="preserve"> </w:t>
      </w:r>
      <w:r>
        <w:rPr>
          <w:rFonts w:hint="eastAsia"/>
        </w:rPr>
        <w:t>供应商资格审查及符合性审查</w:t>
      </w:r>
      <w:bookmarkEnd w:id="4"/>
      <w:bookmarkEnd w:id="5"/>
      <w:bookmarkEnd w:id="6"/>
    </w:p>
    <w:tbl>
      <w:tblPr>
        <w:tblStyle w:val="22"/>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014C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3CE4EA6">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31F0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76BC70E3">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6933B863">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1F863AF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0E35829">
            <w:pPr>
              <w:widowControl/>
              <w:jc w:val="center"/>
              <w:rPr>
                <w:rFonts w:ascii="仿宋" w:hAnsi="仿宋" w:eastAsia="仿宋" w:cs="仿宋"/>
                <w:b/>
                <w:bCs/>
                <w:sz w:val="22"/>
              </w:rPr>
            </w:pPr>
            <w:r>
              <w:rPr>
                <w:rFonts w:hint="eastAsia" w:ascii="仿宋" w:hAnsi="仿宋" w:eastAsia="仿宋" w:cs="仿宋"/>
                <w:b/>
                <w:bCs/>
                <w:sz w:val="22"/>
              </w:rPr>
              <w:t>结论</w:t>
            </w:r>
          </w:p>
        </w:tc>
      </w:tr>
      <w:tr w14:paraId="65E6A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96" w:type="dxa"/>
            <w:vAlign w:val="center"/>
          </w:tcPr>
          <w:p w14:paraId="580287F1">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1787B6F">
            <w:pPr>
              <w:jc w:val="center"/>
              <w:rPr>
                <w:rFonts w:ascii="仿宋" w:hAnsi="仿宋" w:eastAsia="仿宋" w:cs="仿宋"/>
                <w:b/>
                <w:bCs/>
                <w:sz w:val="20"/>
                <w:szCs w:val="20"/>
              </w:rPr>
            </w:pPr>
            <w:r>
              <w:rPr>
                <w:rFonts w:ascii="等线" w:hAnsi="等线" w:eastAsia="仿宋"/>
                <w:b/>
                <w:sz w:val="22"/>
              </w:rPr>
              <w:t>具有独立承担民事责任的能力</w:t>
            </w:r>
          </w:p>
        </w:tc>
        <w:tc>
          <w:tcPr>
            <w:tcW w:w="4398" w:type="dxa"/>
            <w:vAlign w:val="center"/>
          </w:tcPr>
          <w:p w14:paraId="03BD5DA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0B4EB77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DFBDC4C">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02C8CE12">
            <w:r>
              <w:rPr>
                <w:rFonts w:hint="eastAsia" w:ascii="仿宋" w:hAnsi="仿宋" w:eastAsia="仿宋" w:cs="仿宋"/>
              </w:rPr>
              <w:t>（4）若为自然人：提供“身份证明材料”</w:t>
            </w:r>
          </w:p>
        </w:tc>
        <w:tc>
          <w:tcPr>
            <w:tcW w:w="902" w:type="dxa"/>
            <w:vAlign w:val="center"/>
          </w:tcPr>
          <w:p w14:paraId="0090079E">
            <w:pPr>
              <w:widowControl/>
              <w:jc w:val="left"/>
              <w:rPr>
                <w:rFonts w:ascii="仿宋" w:hAnsi="仿宋" w:eastAsia="仿宋" w:cs="仿宋"/>
                <w:bCs/>
                <w:kern w:val="0"/>
                <w:sz w:val="22"/>
              </w:rPr>
            </w:pPr>
          </w:p>
        </w:tc>
      </w:tr>
      <w:tr w14:paraId="7610D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96" w:type="dxa"/>
            <w:vAlign w:val="center"/>
          </w:tcPr>
          <w:p w14:paraId="4859528F">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1256F64C">
            <w:pPr>
              <w:jc w:val="center"/>
              <w:rPr>
                <w:rFonts w:ascii="仿宋" w:hAnsi="仿宋" w:eastAsia="仿宋" w:cs="仿宋"/>
                <w:b/>
                <w:bCs/>
                <w:sz w:val="20"/>
                <w:szCs w:val="20"/>
              </w:rPr>
            </w:pPr>
            <w:r>
              <w:rPr>
                <w:rFonts w:ascii="仿宋" w:hAnsi="仿宋" w:eastAsia="仿宋"/>
                <w:b/>
                <w:sz w:val="22"/>
              </w:rPr>
              <w:t>具有健全的财务会计制度</w:t>
            </w:r>
          </w:p>
        </w:tc>
        <w:tc>
          <w:tcPr>
            <w:tcW w:w="4398" w:type="dxa"/>
            <w:vAlign w:val="center"/>
          </w:tcPr>
          <w:p w14:paraId="3D0E380F">
            <w:pPr>
              <w:jc w:val="center"/>
              <w:rPr>
                <w:rFonts w:ascii="仿宋" w:hAnsi="仿宋" w:eastAsia="仿宋" w:cs="仿宋"/>
                <w:sz w:val="22"/>
              </w:rPr>
            </w:pPr>
            <w:r>
              <w:rPr>
                <w:rFonts w:hint="eastAsia" w:ascii="仿宋" w:hAnsi="仿宋" w:eastAsia="仿宋" w:cs="仿宋"/>
                <w:sz w:val="22"/>
              </w:rPr>
              <w:t>统一提供承诺函（格式自拟））</w:t>
            </w:r>
          </w:p>
          <w:p w14:paraId="5C54F4AF">
            <w:pPr>
              <w:rPr>
                <w:rFonts w:ascii="仿宋" w:hAnsi="仿宋" w:eastAsia="仿宋" w:cs="仿宋"/>
                <w:sz w:val="22"/>
              </w:rPr>
            </w:pPr>
          </w:p>
        </w:tc>
        <w:tc>
          <w:tcPr>
            <w:tcW w:w="902" w:type="dxa"/>
            <w:vAlign w:val="center"/>
          </w:tcPr>
          <w:p w14:paraId="641EA536">
            <w:pPr>
              <w:jc w:val="left"/>
              <w:rPr>
                <w:rFonts w:ascii="仿宋" w:hAnsi="仿宋" w:eastAsia="仿宋" w:cs="仿宋"/>
                <w:bCs/>
                <w:kern w:val="0"/>
                <w:sz w:val="22"/>
              </w:rPr>
            </w:pPr>
          </w:p>
        </w:tc>
      </w:tr>
      <w:tr w14:paraId="371EA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jc w:val="center"/>
        </w:trPr>
        <w:tc>
          <w:tcPr>
            <w:tcW w:w="796" w:type="dxa"/>
            <w:vAlign w:val="center"/>
          </w:tcPr>
          <w:p w14:paraId="215DE642">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63FABBFD">
            <w:pPr>
              <w:spacing w:line="360" w:lineRule="auto"/>
              <w:jc w:val="center"/>
              <w:rPr>
                <w:rFonts w:ascii="仿宋" w:hAnsi="仿宋" w:eastAsia="仿宋" w:cs="仿宋"/>
                <w:b/>
                <w:bCs/>
                <w:sz w:val="20"/>
                <w:szCs w:val="20"/>
              </w:rPr>
            </w:pPr>
            <w:r>
              <w:rPr>
                <w:rFonts w:ascii="仿宋" w:hAnsi="仿宋" w:eastAsia="仿宋"/>
                <w:b/>
                <w:sz w:val="22"/>
              </w:rPr>
              <w:t>具有履行合同所必需的设备和专业技术能力</w:t>
            </w:r>
          </w:p>
        </w:tc>
        <w:tc>
          <w:tcPr>
            <w:tcW w:w="4398" w:type="dxa"/>
            <w:vMerge w:val="restart"/>
            <w:vAlign w:val="center"/>
          </w:tcPr>
          <w:p w14:paraId="10F2DD93">
            <w:pPr>
              <w:jc w:val="center"/>
              <w:rPr>
                <w:rFonts w:ascii="仿宋" w:hAnsi="仿宋" w:eastAsia="仿宋" w:cs="仿宋"/>
                <w:sz w:val="22"/>
              </w:rPr>
            </w:pPr>
            <w:r>
              <w:rPr>
                <w:rFonts w:hint="eastAsia" w:ascii="仿宋" w:hAnsi="仿宋" w:eastAsia="仿宋" w:cs="仿宋"/>
                <w:sz w:val="22"/>
              </w:rPr>
              <w:t>统一提供承诺函</w:t>
            </w:r>
          </w:p>
          <w:p w14:paraId="49FB6AF7">
            <w:pPr>
              <w:jc w:val="center"/>
              <w:rPr>
                <w:rFonts w:hint="default" w:ascii="仿宋" w:hAnsi="仿宋" w:eastAsia="仿宋" w:cs="仿宋"/>
                <w:sz w:val="22"/>
                <w:lang w:val="en-US" w:eastAsia="zh-CN"/>
              </w:rPr>
            </w:pPr>
            <w:r>
              <w:rPr>
                <w:rFonts w:hint="eastAsia" w:ascii="仿宋" w:hAnsi="仿宋" w:eastAsia="仿宋" w:cs="仿宋"/>
                <w:sz w:val="22"/>
              </w:rPr>
              <w:t>(注：格式见第五章承诺函)</w:t>
            </w:r>
          </w:p>
        </w:tc>
        <w:tc>
          <w:tcPr>
            <w:tcW w:w="902" w:type="dxa"/>
            <w:vMerge w:val="restart"/>
            <w:vAlign w:val="center"/>
          </w:tcPr>
          <w:p w14:paraId="4C26F98E">
            <w:pPr>
              <w:jc w:val="left"/>
              <w:rPr>
                <w:rFonts w:ascii="仿宋" w:hAnsi="仿宋" w:eastAsia="仿宋" w:cs="仿宋"/>
                <w:bCs/>
                <w:kern w:val="0"/>
                <w:sz w:val="22"/>
              </w:rPr>
            </w:pPr>
          </w:p>
        </w:tc>
      </w:tr>
      <w:tr w14:paraId="42A86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7BDA7093">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5AD2B67">
            <w:pPr>
              <w:spacing w:line="360" w:lineRule="auto"/>
              <w:jc w:val="center"/>
              <w:rPr>
                <w:rFonts w:ascii="仿宋" w:hAnsi="仿宋" w:eastAsia="仿宋" w:cs="仿宋"/>
                <w:b/>
                <w:bCs/>
                <w:sz w:val="20"/>
                <w:szCs w:val="20"/>
              </w:rPr>
            </w:pPr>
            <w:r>
              <w:rPr>
                <w:rFonts w:ascii="仿宋" w:hAnsi="仿宋" w:eastAsia="仿宋"/>
                <w:b/>
                <w:sz w:val="22"/>
              </w:rPr>
              <w:t>有依法缴纳税收和社会保障资金的良好记录</w:t>
            </w:r>
          </w:p>
        </w:tc>
        <w:tc>
          <w:tcPr>
            <w:tcW w:w="4398" w:type="dxa"/>
            <w:vMerge w:val="continue"/>
            <w:vAlign w:val="center"/>
          </w:tcPr>
          <w:p w14:paraId="7E66987F">
            <w:pPr>
              <w:rPr>
                <w:rFonts w:ascii="仿宋" w:hAnsi="仿宋" w:eastAsia="仿宋" w:cs="仿宋"/>
                <w:sz w:val="22"/>
              </w:rPr>
            </w:pPr>
          </w:p>
        </w:tc>
        <w:tc>
          <w:tcPr>
            <w:tcW w:w="902" w:type="dxa"/>
            <w:vMerge w:val="continue"/>
            <w:vAlign w:val="center"/>
          </w:tcPr>
          <w:p w14:paraId="200DD005">
            <w:pPr>
              <w:jc w:val="left"/>
              <w:rPr>
                <w:rFonts w:ascii="仿宋" w:hAnsi="仿宋" w:eastAsia="仿宋" w:cs="仿宋"/>
                <w:bCs/>
                <w:kern w:val="0"/>
                <w:sz w:val="22"/>
              </w:rPr>
            </w:pPr>
          </w:p>
        </w:tc>
      </w:tr>
      <w:tr w14:paraId="7438E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79263156">
            <w:pPr>
              <w:jc w:val="center"/>
              <w:rPr>
                <w:rFonts w:hint="eastAsia" w:ascii="仿宋" w:hAnsi="仿宋" w:eastAsia="仿宋" w:cs="仿宋"/>
                <w:sz w:val="22"/>
                <w:lang w:val="en-US" w:eastAsia="zh-CN"/>
              </w:rPr>
            </w:pPr>
            <w:r>
              <w:rPr>
                <w:rFonts w:hint="eastAsia" w:ascii="仿宋" w:hAnsi="仿宋" w:eastAsia="仿宋" w:cs="仿宋"/>
                <w:sz w:val="22"/>
              </w:rPr>
              <w:t>5</w:t>
            </w:r>
          </w:p>
        </w:tc>
        <w:tc>
          <w:tcPr>
            <w:tcW w:w="2524" w:type="dxa"/>
            <w:vAlign w:val="center"/>
          </w:tcPr>
          <w:p w14:paraId="65F0F9EC">
            <w:pPr>
              <w:spacing w:line="360" w:lineRule="auto"/>
              <w:jc w:val="center"/>
              <w:rPr>
                <w:rFonts w:ascii="仿宋" w:hAnsi="仿宋" w:eastAsia="仿宋" w:cs="仿宋"/>
                <w:b/>
                <w:bCs/>
                <w:sz w:val="20"/>
                <w:szCs w:val="20"/>
              </w:rPr>
            </w:pPr>
            <w:r>
              <w:rPr>
                <w:rFonts w:ascii="仿宋" w:hAnsi="仿宋" w:eastAsia="仿宋"/>
                <w:b/>
                <w:sz w:val="22"/>
              </w:rPr>
              <w:t>具有良好的商业信誉</w:t>
            </w:r>
          </w:p>
        </w:tc>
        <w:tc>
          <w:tcPr>
            <w:tcW w:w="4398" w:type="dxa"/>
            <w:vMerge w:val="continue"/>
            <w:vAlign w:val="center"/>
          </w:tcPr>
          <w:p w14:paraId="2C66EFF3">
            <w:pPr>
              <w:rPr>
                <w:rFonts w:ascii="仿宋" w:hAnsi="仿宋" w:eastAsia="仿宋" w:cs="仿宋"/>
                <w:sz w:val="22"/>
              </w:rPr>
            </w:pPr>
          </w:p>
        </w:tc>
        <w:tc>
          <w:tcPr>
            <w:tcW w:w="902" w:type="dxa"/>
            <w:vMerge w:val="continue"/>
            <w:vAlign w:val="center"/>
          </w:tcPr>
          <w:p w14:paraId="293A6E0D">
            <w:pPr>
              <w:jc w:val="left"/>
              <w:rPr>
                <w:rFonts w:ascii="仿宋" w:hAnsi="仿宋" w:eastAsia="仿宋" w:cs="仿宋"/>
                <w:bCs/>
                <w:kern w:val="0"/>
                <w:sz w:val="22"/>
              </w:rPr>
            </w:pPr>
          </w:p>
        </w:tc>
      </w:tr>
      <w:tr w14:paraId="199D5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139F198F">
            <w:pPr>
              <w:jc w:val="center"/>
              <w:rPr>
                <w:rFonts w:hint="eastAsia" w:ascii="仿宋" w:hAnsi="仿宋" w:eastAsia="仿宋" w:cs="仿宋"/>
                <w:sz w:val="22"/>
                <w:lang w:val="en-US" w:eastAsia="zh-CN"/>
              </w:rPr>
            </w:pPr>
            <w:r>
              <w:rPr>
                <w:rFonts w:hint="eastAsia" w:ascii="仿宋" w:hAnsi="仿宋" w:eastAsia="仿宋" w:cs="仿宋"/>
                <w:sz w:val="22"/>
              </w:rPr>
              <w:t>6</w:t>
            </w:r>
          </w:p>
        </w:tc>
        <w:tc>
          <w:tcPr>
            <w:tcW w:w="2524" w:type="dxa"/>
            <w:vAlign w:val="center"/>
          </w:tcPr>
          <w:p w14:paraId="473B15EA">
            <w:pPr>
              <w:spacing w:line="360" w:lineRule="auto"/>
              <w:jc w:val="center"/>
              <w:rPr>
                <w:rFonts w:ascii="仿宋" w:hAnsi="仿宋" w:eastAsia="仿宋" w:cs="仿宋"/>
                <w:b/>
                <w:bCs/>
                <w:sz w:val="20"/>
                <w:szCs w:val="20"/>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37EE05CC">
            <w:pPr>
              <w:rPr>
                <w:rFonts w:ascii="仿宋" w:hAnsi="仿宋" w:eastAsia="仿宋" w:cs="仿宋"/>
                <w:sz w:val="22"/>
              </w:rPr>
            </w:pPr>
          </w:p>
        </w:tc>
        <w:tc>
          <w:tcPr>
            <w:tcW w:w="902" w:type="dxa"/>
            <w:vMerge w:val="continue"/>
            <w:vAlign w:val="center"/>
          </w:tcPr>
          <w:p w14:paraId="15E0C2B8">
            <w:pPr>
              <w:jc w:val="left"/>
              <w:rPr>
                <w:rFonts w:ascii="仿宋" w:hAnsi="仿宋" w:eastAsia="仿宋" w:cs="仿宋"/>
                <w:bCs/>
                <w:kern w:val="0"/>
                <w:sz w:val="22"/>
              </w:rPr>
            </w:pPr>
          </w:p>
        </w:tc>
      </w:tr>
      <w:tr w14:paraId="1335A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3946E2EA">
            <w:pPr>
              <w:jc w:val="center"/>
              <w:rPr>
                <w:rFonts w:hint="eastAsia" w:ascii="仿宋" w:hAnsi="仿宋" w:eastAsia="仿宋" w:cs="仿宋"/>
                <w:sz w:val="22"/>
                <w:lang w:val="en-US" w:eastAsia="zh-CN"/>
              </w:rPr>
            </w:pPr>
            <w:r>
              <w:rPr>
                <w:rFonts w:hint="eastAsia" w:ascii="仿宋" w:hAnsi="仿宋" w:eastAsia="仿宋" w:cs="仿宋"/>
                <w:sz w:val="22"/>
              </w:rPr>
              <w:t>7</w:t>
            </w:r>
          </w:p>
        </w:tc>
        <w:tc>
          <w:tcPr>
            <w:tcW w:w="2524" w:type="dxa"/>
            <w:vAlign w:val="center"/>
          </w:tcPr>
          <w:p w14:paraId="7C6B5B9D">
            <w:pPr>
              <w:spacing w:line="360" w:lineRule="auto"/>
              <w:jc w:val="center"/>
              <w:rPr>
                <w:rFonts w:ascii="仿宋" w:hAnsi="仿宋" w:eastAsia="仿宋" w:cs="仿宋"/>
                <w:b/>
                <w:bCs/>
                <w:sz w:val="20"/>
                <w:szCs w:val="20"/>
              </w:rPr>
            </w:pPr>
            <w:r>
              <w:rPr>
                <w:rFonts w:ascii="仿宋" w:hAnsi="仿宋" w:eastAsia="仿宋"/>
                <w:b/>
                <w:sz w:val="22"/>
              </w:rPr>
              <w:t>法律、行政法规规定的其他条件</w:t>
            </w:r>
          </w:p>
        </w:tc>
        <w:tc>
          <w:tcPr>
            <w:tcW w:w="4398" w:type="dxa"/>
            <w:vMerge w:val="continue"/>
            <w:vAlign w:val="center"/>
          </w:tcPr>
          <w:p w14:paraId="02D81578">
            <w:pPr>
              <w:rPr>
                <w:rFonts w:ascii="仿宋" w:hAnsi="仿宋" w:eastAsia="仿宋" w:cs="仿宋"/>
                <w:sz w:val="22"/>
              </w:rPr>
            </w:pPr>
          </w:p>
        </w:tc>
        <w:tc>
          <w:tcPr>
            <w:tcW w:w="902" w:type="dxa"/>
            <w:vMerge w:val="continue"/>
            <w:vAlign w:val="center"/>
          </w:tcPr>
          <w:p w14:paraId="475BAD6C">
            <w:pPr>
              <w:jc w:val="left"/>
              <w:rPr>
                <w:rFonts w:ascii="仿宋" w:hAnsi="仿宋" w:eastAsia="仿宋" w:cs="仿宋"/>
                <w:bCs/>
                <w:kern w:val="0"/>
                <w:sz w:val="22"/>
              </w:rPr>
            </w:pPr>
          </w:p>
        </w:tc>
      </w:tr>
      <w:tr w14:paraId="68B21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6" w:type="dxa"/>
            <w:vAlign w:val="center"/>
          </w:tcPr>
          <w:p w14:paraId="517C8948">
            <w:pPr>
              <w:jc w:val="center"/>
              <w:rPr>
                <w:rFonts w:hint="default" w:ascii="仿宋" w:hAnsi="仿宋" w:eastAsia="仿宋" w:cs="仿宋"/>
                <w:sz w:val="22"/>
                <w:lang w:val="en-US" w:eastAsia="zh-CN"/>
              </w:rPr>
            </w:pPr>
            <w:r>
              <w:rPr>
                <w:rFonts w:hint="eastAsia" w:ascii="仿宋" w:hAnsi="仿宋" w:eastAsia="仿宋" w:cs="仿宋"/>
                <w:sz w:val="22"/>
              </w:rPr>
              <w:t>8</w:t>
            </w:r>
          </w:p>
        </w:tc>
        <w:tc>
          <w:tcPr>
            <w:tcW w:w="2524" w:type="dxa"/>
            <w:vAlign w:val="center"/>
          </w:tcPr>
          <w:p w14:paraId="79D624B0">
            <w:pPr>
              <w:jc w:val="center"/>
              <w:rPr>
                <w:rFonts w:hint="eastAsia" w:asciiTheme="minorEastAsia" w:hAnsiTheme="minorEastAsia" w:eastAsiaTheme="minorEastAsia" w:cstheme="minorEastAsia"/>
                <w:b/>
                <w:bCs/>
                <w:color w:val="auto"/>
                <w:sz w:val="21"/>
                <w:szCs w:val="21"/>
                <w:highlight w:val="none"/>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1DCF340D">
            <w:pPr>
              <w:rPr>
                <w:rFonts w:ascii="仿宋" w:hAnsi="仿宋" w:eastAsia="仿宋" w:cs="仿宋"/>
                <w:sz w:val="22"/>
              </w:rPr>
            </w:pPr>
          </w:p>
        </w:tc>
        <w:tc>
          <w:tcPr>
            <w:tcW w:w="902" w:type="dxa"/>
            <w:vMerge w:val="continue"/>
            <w:vAlign w:val="center"/>
          </w:tcPr>
          <w:p w14:paraId="51B846FF">
            <w:pPr>
              <w:jc w:val="left"/>
              <w:rPr>
                <w:rFonts w:ascii="仿宋" w:hAnsi="仿宋" w:eastAsia="仿宋" w:cs="仿宋"/>
                <w:bCs/>
                <w:kern w:val="0"/>
                <w:sz w:val="22"/>
              </w:rPr>
            </w:pPr>
          </w:p>
        </w:tc>
      </w:tr>
      <w:tr w14:paraId="255DE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6" w:type="dxa"/>
            <w:vAlign w:val="center"/>
          </w:tcPr>
          <w:p w14:paraId="0109B587">
            <w:pPr>
              <w:jc w:val="center"/>
              <w:rPr>
                <w:rFonts w:hint="default" w:ascii="仿宋" w:hAnsi="仿宋" w:eastAsia="仿宋" w:cs="仿宋"/>
                <w:sz w:val="22"/>
                <w:lang w:val="en-US" w:eastAsia="zh-CN"/>
              </w:rPr>
            </w:pPr>
            <w:r>
              <w:rPr>
                <w:rFonts w:hint="eastAsia" w:ascii="仿宋" w:hAnsi="仿宋" w:eastAsia="仿宋" w:cs="仿宋"/>
                <w:sz w:val="22"/>
              </w:rPr>
              <w:t>9</w:t>
            </w:r>
          </w:p>
        </w:tc>
        <w:tc>
          <w:tcPr>
            <w:tcW w:w="2524" w:type="dxa"/>
            <w:vAlign w:val="center"/>
          </w:tcPr>
          <w:p w14:paraId="33A56255">
            <w:pPr>
              <w:widowControl/>
              <w:rPr>
                <w:rFonts w:hint="eastAsia" w:asciiTheme="minorEastAsia" w:hAnsiTheme="minorEastAsia" w:eastAsiaTheme="minorEastAsia" w:cstheme="minorEastAsia"/>
                <w:b/>
                <w:bCs/>
                <w:color w:val="auto"/>
                <w:sz w:val="21"/>
                <w:szCs w:val="21"/>
                <w:highlight w:val="none"/>
              </w:rPr>
            </w:pPr>
            <w:r>
              <w:rPr>
                <w:rFonts w:hint="eastAsia" w:ascii="仿宋" w:hAnsi="仿宋" w:eastAsia="仿宋" w:cs="仿宋"/>
                <w:b/>
                <w:bCs/>
                <w:sz w:val="30"/>
                <w:szCs w:val="30"/>
              </w:rPr>
              <w:t>其它资格条件：</w:t>
            </w:r>
          </w:p>
        </w:tc>
        <w:tc>
          <w:tcPr>
            <w:tcW w:w="4398" w:type="dxa"/>
            <w:vAlign w:val="center"/>
          </w:tcPr>
          <w:p w14:paraId="461D7CBA">
            <w:pPr>
              <w:rPr>
                <w:rFonts w:ascii="仿宋" w:hAnsi="仿宋" w:eastAsia="仿宋" w:cs="仿宋"/>
                <w:sz w:val="22"/>
              </w:rPr>
            </w:pPr>
          </w:p>
        </w:tc>
        <w:tc>
          <w:tcPr>
            <w:tcW w:w="902" w:type="dxa"/>
            <w:vAlign w:val="center"/>
          </w:tcPr>
          <w:p w14:paraId="01877B43">
            <w:pPr>
              <w:jc w:val="left"/>
              <w:rPr>
                <w:rFonts w:ascii="仿宋" w:hAnsi="仿宋" w:eastAsia="仿宋" w:cs="仿宋"/>
                <w:bCs/>
                <w:kern w:val="0"/>
                <w:sz w:val="22"/>
              </w:rPr>
            </w:pPr>
          </w:p>
        </w:tc>
      </w:tr>
    </w:tbl>
    <w:p w14:paraId="37044E97"/>
    <w:p w14:paraId="7CF749EF">
      <w:pPr>
        <w:pStyle w:val="31"/>
      </w:pPr>
    </w:p>
    <w:p w14:paraId="16E6B0AB">
      <w:pPr>
        <w:pStyle w:val="31"/>
      </w:pPr>
    </w:p>
    <w:tbl>
      <w:tblPr>
        <w:tblStyle w:val="22"/>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752D0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A354A9A">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3C41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37B1D8D6">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7BED6F61">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07932F8B">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8F422FD">
            <w:pPr>
              <w:widowControl/>
              <w:jc w:val="center"/>
              <w:rPr>
                <w:rFonts w:ascii="仿宋" w:hAnsi="仿宋" w:eastAsia="仿宋" w:cs="仿宋"/>
                <w:b/>
                <w:bCs/>
                <w:sz w:val="22"/>
              </w:rPr>
            </w:pPr>
            <w:r>
              <w:rPr>
                <w:rFonts w:hint="eastAsia" w:ascii="仿宋" w:hAnsi="仿宋" w:eastAsia="仿宋" w:cs="仿宋"/>
                <w:b/>
                <w:bCs/>
                <w:sz w:val="22"/>
              </w:rPr>
              <w:t>结论</w:t>
            </w:r>
          </w:p>
        </w:tc>
      </w:tr>
      <w:tr w14:paraId="371CE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7B4F60C2">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5B8BA011">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3D132742">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415D19BD">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74052443">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0A7F3129">
            <w:pPr>
              <w:widowControl/>
              <w:jc w:val="left"/>
              <w:rPr>
                <w:rFonts w:ascii="仿宋" w:hAnsi="仿宋" w:eastAsia="仿宋" w:cs="仿宋"/>
                <w:bCs/>
                <w:kern w:val="0"/>
                <w:sz w:val="22"/>
              </w:rPr>
            </w:pPr>
          </w:p>
        </w:tc>
      </w:tr>
      <w:tr w14:paraId="1D053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3859752">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0DCA8025">
            <w:pPr>
              <w:jc w:val="center"/>
              <w:rPr>
                <w:rFonts w:ascii="等线" w:hAnsi="等线" w:eastAsia="仿宋"/>
                <w:b/>
                <w:sz w:val="22"/>
              </w:rPr>
            </w:pPr>
            <w:r>
              <w:rPr>
                <w:rFonts w:hint="eastAsia" w:ascii="等线" w:hAnsi="等线" w:eastAsia="仿宋"/>
                <w:b/>
                <w:sz w:val="22"/>
              </w:rPr>
              <w:t>磋商文件中实质性要求</w:t>
            </w:r>
          </w:p>
        </w:tc>
        <w:tc>
          <w:tcPr>
            <w:tcW w:w="4867" w:type="dxa"/>
            <w:vAlign w:val="center"/>
          </w:tcPr>
          <w:p w14:paraId="5CD17277">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06B22C42">
            <w:pPr>
              <w:widowControl/>
              <w:jc w:val="left"/>
              <w:rPr>
                <w:rFonts w:ascii="仿宋" w:hAnsi="仿宋" w:eastAsia="仿宋" w:cs="仿宋"/>
                <w:bCs/>
                <w:kern w:val="0"/>
                <w:sz w:val="22"/>
              </w:rPr>
            </w:pPr>
          </w:p>
        </w:tc>
      </w:tr>
      <w:tr w14:paraId="346E6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6B9C6084">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48067AB0">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2C28A4C9">
            <w:pPr>
              <w:rPr>
                <w:rFonts w:ascii="仿宋" w:hAnsi="仿宋" w:eastAsia="仿宋" w:cs="仿宋"/>
                <w:sz w:val="22"/>
              </w:rPr>
            </w:pPr>
            <w:r>
              <w:rPr>
                <w:rFonts w:hint="eastAsia" w:ascii="仿宋" w:hAnsi="仿宋" w:eastAsia="仿宋" w:cs="仿宋"/>
                <w:sz w:val="22"/>
              </w:rPr>
              <w:t>符合磋商文件编制的实质性要求；</w:t>
            </w:r>
          </w:p>
          <w:p w14:paraId="5B8B453A">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4A58CE2">
            <w:pPr>
              <w:widowControl/>
              <w:jc w:val="left"/>
              <w:rPr>
                <w:rFonts w:ascii="仿宋" w:hAnsi="仿宋" w:eastAsia="仿宋" w:cs="仿宋"/>
                <w:bCs/>
                <w:kern w:val="0"/>
                <w:sz w:val="22"/>
              </w:rPr>
            </w:pPr>
          </w:p>
        </w:tc>
      </w:tr>
      <w:tr w14:paraId="73C13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21F922A4">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5200536A">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519AF3CF">
            <w:pPr>
              <w:rPr>
                <w:rFonts w:ascii="仿宋" w:hAnsi="仿宋" w:eastAsia="仿宋" w:cs="仿宋"/>
                <w:sz w:val="22"/>
              </w:rPr>
            </w:pPr>
            <w:r>
              <w:rPr>
                <w:rFonts w:hint="eastAsia" w:ascii="仿宋" w:hAnsi="仿宋" w:eastAsia="仿宋" w:cs="仿宋"/>
                <w:sz w:val="22"/>
              </w:rPr>
              <w:t>符合磋商文件要求;</w:t>
            </w:r>
          </w:p>
          <w:p w14:paraId="5A728335">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ACD1309">
            <w:pPr>
              <w:widowControl/>
              <w:jc w:val="left"/>
              <w:rPr>
                <w:rFonts w:ascii="仿宋" w:hAnsi="仿宋" w:eastAsia="仿宋" w:cs="仿宋"/>
                <w:bCs/>
                <w:kern w:val="0"/>
                <w:sz w:val="22"/>
              </w:rPr>
            </w:pPr>
          </w:p>
        </w:tc>
      </w:tr>
      <w:tr w14:paraId="297D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4B83EF7C">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0460135B">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17F4D74E">
            <w:pPr>
              <w:rPr>
                <w:rFonts w:ascii="仿宋" w:hAnsi="仿宋" w:eastAsia="仿宋" w:cs="仿宋"/>
                <w:sz w:val="22"/>
              </w:rPr>
            </w:pPr>
            <w:r>
              <w:rPr>
                <w:rFonts w:hint="eastAsia" w:ascii="仿宋" w:hAnsi="仿宋" w:eastAsia="仿宋" w:cs="仿宋"/>
                <w:sz w:val="22"/>
              </w:rPr>
              <w:t>符合磋商文件报价要求;</w:t>
            </w:r>
          </w:p>
          <w:p w14:paraId="38F989F9">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5A6CC920">
            <w:pPr>
              <w:widowControl/>
              <w:jc w:val="left"/>
              <w:rPr>
                <w:rFonts w:ascii="仿宋" w:hAnsi="仿宋" w:eastAsia="仿宋" w:cs="仿宋"/>
                <w:bCs/>
                <w:kern w:val="0"/>
                <w:sz w:val="22"/>
              </w:rPr>
            </w:pPr>
          </w:p>
        </w:tc>
      </w:tr>
      <w:tr w14:paraId="713D6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482248CF">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20E7A2AC">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2F1B8AE8">
            <w:pPr>
              <w:rPr>
                <w:rFonts w:ascii="仿宋" w:hAnsi="仿宋" w:eastAsia="仿宋" w:cs="仿宋"/>
                <w:sz w:val="22"/>
              </w:rPr>
            </w:pPr>
          </w:p>
        </w:tc>
        <w:tc>
          <w:tcPr>
            <w:tcW w:w="902" w:type="dxa"/>
            <w:vAlign w:val="center"/>
          </w:tcPr>
          <w:p w14:paraId="5C465661">
            <w:pPr>
              <w:widowControl/>
              <w:jc w:val="left"/>
              <w:rPr>
                <w:rFonts w:ascii="仿宋" w:hAnsi="仿宋" w:eastAsia="仿宋" w:cs="仿宋"/>
                <w:bCs/>
                <w:kern w:val="0"/>
                <w:sz w:val="22"/>
              </w:rPr>
            </w:pPr>
          </w:p>
        </w:tc>
      </w:tr>
    </w:tbl>
    <w:p w14:paraId="27B6B9A7">
      <w:r>
        <w:br w:type="page"/>
      </w:r>
    </w:p>
    <w:p w14:paraId="50988C31">
      <w:pPr>
        <w:pStyle w:val="2"/>
        <w:numPr>
          <w:ilvl w:val="0"/>
          <w:numId w:val="0"/>
        </w:numPr>
        <w:ind w:left="402"/>
      </w:pPr>
      <w:bookmarkStart w:id="7" w:name="_Toc12193"/>
      <w:bookmarkStart w:id="8" w:name="_Toc12668"/>
      <w:bookmarkStart w:id="9" w:name="_Toc3988"/>
      <w:r>
        <w:rPr>
          <w:rFonts w:hint="eastAsia"/>
        </w:rPr>
        <w:t>第四章 采购需求</w:t>
      </w:r>
      <w:bookmarkEnd w:id="7"/>
      <w:bookmarkEnd w:id="8"/>
      <w:bookmarkEnd w:id="9"/>
    </w:p>
    <w:p w14:paraId="2840B1D4">
      <w:pPr>
        <w:rPr>
          <w:rFonts w:ascii="仿宋" w:hAnsi="仿宋" w:eastAsia="仿宋" w:cs="仿宋"/>
          <w:b/>
          <w:bCs/>
          <w:sz w:val="24"/>
          <w:szCs w:val="24"/>
        </w:rPr>
      </w:pPr>
    </w:p>
    <w:p w14:paraId="45CDED8F">
      <w:pPr>
        <w:keepNext w:val="0"/>
        <w:keepLines w:val="0"/>
        <w:pageBreakBefore w:val="0"/>
        <w:widowControl w:val="0"/>
        <w:numPr>
          <w:ilvl w:val="0"/>
          <w:numId w:val="18"/>
        </w:numPr>
        <w:kinsoku/>
        <w:wordWrap/>
        <w:overflowPunct/>
        <w:topLinePunct w:val="0"/>
        <w:autoSpaceDE/>
        <w:autoSpaceDN/>
        <w:bidi w:val="0"/>
        <w:adjustRightInd/>
        <w:snapToGrid/>
        <w:ind w:left="0" w:leftChars="0" w:firstLine="420" w:firstLineChars="0"/>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1BE061F1">
      <w:pPr>
        <w:ind w:firstLine="630" w:firstLineChars="300"/>
        <w:rPr>
          <w:rFonts w:hint="eastAsia" w:asciiTheme="minorHAnsi" w:hAnsiTheme="minorHAnsi" w:eastAsiaTheme="minorEastAsia" w:cstheme="minorBidi"/>
          <w:b w:val="0"/>
          <w:color w:val="auto"/>
          <w:kern w:val="2"/>
          <w:sz w:val="21"/>
          <w:szCs w:val="22"/>
          <w:lang w:val="en-US" w:eastAsia="zh-CN" w:bidi="ar-SA"/>
        </w:rPr>
      </w:pPr>
      <w:r>
        <w:rPr>
          <w:rFonts w:hint="eastAsia" w:asciiTheme="minorHAnsi" w:hAnsiTheme="minorHAnsi" w:eastAsiaTheme="minorEastAsia" w:cstheme="minorBidi"/>
          <w:b w:val="0"/>
          <w:color w:val="auto"/>
          <w:kern w:val="2"/>
          <w:sz w:val="21"/>
          <w:szCs w:val="22"/>
          <w:lang w:val="en-US" w:eastAsia="zh-CN" w:bidi="ar-SA"/>
        </w:rPr>
        <w:t>根据医院工作需要，采购绵阳三江医院二期项目建议书编制咨询服务，本项目预估总投资约为13亿元（含医疗设备）。</w:t>
      </w:r>
    </w:p>
    <w:p w14:paraId="63204727">
      <w:pPr>
        <w:pStyle w:val="10"/>
        <w:rPr>
          <w:rFonts w:hint="eastAsia"/>
          <w:lang w:val="en-US" w:eastAsia="zh-CN"/>
        </w:rPr>
      </w:pPr>
    </w:p>
    <w:p w14:paraId="466634CA">
      <w:pPr>
        <w:keepNext w:val="0"/>
        <w:keepLines w:val="0"/>
        <w:pageBreakBefore w:val="0"/>
        <w:widowControl w:val="0"/>
        <w:numPr>
          <w:ilvl w:val="0"/>
          <w:numId w:val="18"/>
        </w:numPr>
        <w:kinsoku/>
        <w:wordWrap/>
        <w:overflowPunct/>
        <w:topLinePunct w:val="0"/>
        <w:autoSpaceDE/>
        <w:autoSpaceDN/>
        <w:bidi w:val="0"/>
        <w:adjustRightInd/>
        <w:snapToGrid/>
        <w:ind w:left="0" w:leftChars="0" w:firstLine="420" w:firstLineChars="0"/>
        <w:textAlignment w:val="auto"/>
        <w:outlineLvl w:val="1"/>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服务要求</w:t>
      </w:r>
    </w:p>
    <w:p w14:paraId="6F9C3D2B">
      <w:pPr>
        <w:widowControl/>
        <w:spacing w:line="360" w:lineRule="auto"/>
        <w:ind w:firstLine="482" w:firstLineChars="200"/>
        <w:jc w:val="left"/>
        <w:rPr>
          <w:rFonts w:hint="eastAsia" w:ascii="宋体" w:hAnsi="宋体" w:eastAsia="宋体" w:cs="宋体"/>
          <w:b/>
          <w:bCs/>
          <w:color w:val="auto"/>
          <w:kern w:val="0"/>
          <w:sz w:val="24"/>
          <w:szCs w:val="24"/>
          <w:u w:val="single"/>
          <w:lang w:val="en-US" w:eastAsia="zh-CN"/>
        </w:rPr>
      </w:pPr>
      <w:r>
        <w:rPr>
          <w:rFonts w:hint="eastAsia" w:ascii="宋体" w:hAnsi="宋体" w:eastAsia="宋体" w:cs="宋体"/>
          <w:b/>
          <w:bCs/>
          <w:color w:val="auto"/>
          <w:kern w:val="0"/>
          <w:sz w:val="24"/>
          <w:szCs w:val="24"/>
          <w:u w:val="single"/>
          <w:lang w:val="en-US" w:eastAsia="zh-CN"/>
        </w:rPr>
        <w:t>（一）服务内容</w:t>
      </w:r>
    </w:p>
    <w:p w14:paraId="04A0C577">
      <w:pPr>
        <w:widowControl/>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1.完成绵阳三江医院二期项目建议书编制，项目预估总投资约为13亿元。</w:t>
      </w:r>
    </w:p>
    <w:p w14:paraId="71AD1DBA">
      <w:pPr>
        <w:pStyle w:val="6"/>
        <w:spacing w:line="240" w:lineRule="auto"/>
        <w:ind w:left="0" w:leftChars="0" w:firstLine="482" w:firstLineChars="200"/>
        <w:jc w:val="left"/>
        <w:rPr>
          <w:rFonts w:hint="eastAsia" w:ascii="宋体" w:hAnsi="宋体" w:eastAsia="宋体" w:cs="宋体"/>
          <w:b/>
          <w:bCs/>
          <w:color w:val="auto"/>
          <w:kern w:val="0"/>
          <w:sz w:val="24"/>
          <w:szCs w:val="24"/>
          <w:u w:val="single"/>
          <w:lang w:val="en-US" w:eastAsia="zh-CN"/>
        </w:rPr>
      </w:pPr>
      <w:r>
        <w:rPr>
          <w:rFonts w:hint="eastAsia" w:ascii="宋体" w:hAnsi="宋体" w:eastAsia="宋体" w:cs="宋体"/>
          <w:b/>
          <w:bCs/>
          <w:color w:val="auto"/>
          <w:kern w:val="0"/>
          <w:sz w:val="24"/>
          <w:szCs w:val="24"/>
          <w:u w:val="single"/>
          <w:lang w:val="en-US" w:eastAsia="zh-CN"/>
        </w:rPr>
        <w:t>（二）服务要求</w:t>
      </w:r>
    </w:p>
    <w:p w14:paraId="13107A56">
      <w:pPr>
        <w:widowControl/>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1.服务质量要求：</w:t>
      </w:r>
    </w:p>
    <w:p w14:paraId="6FC32C55">
      <w:pPr>
        <w:pStyle w:val="35"/>
        <w:tabs>
          <w:tab w:val="left" w:pos="0"/>
        </w:tabs>
        <w:wordWrap w:val="0"/>
        <w:spacing w:line="440" w:lineRule="exact"/>
        <w:ind w:left="482" w:firstLine="480"/>
        <w:rPr>
          <w:rFonts w:hint="eastAsia" w:cs="宋体"/>
          <w:sz w:val="24"/>
        </w:rPr>
      </w:pPr>
      <w:r>
        <w:rPr>
          <w:rFonts w:hint="eastAsia" w:cs="宋体"/>
          <w:sz w:val="24"/>
        </w:rPr>
        <w:t>供应商应对项目建设的必要性、主要建设内容、拟建地点、拟建规模、投资匡算、资金筹措以及社会效益和经济效益等进行初步分析并附相关文件资料。必须符合国家和地方相关法律法规标准。</w:t>
      </w:r>
    </w:p>
    <w:p w14:paraId="554FA212">
      <w:pPr>
        <w:pStyle w:val="35"/>
        <w:tabs>
          <w:tab w:val="left" w:pos="0"/>
        </w:tabs>
        <w:wordWrap w:val="0"/>
        <w:spacing w:line="440" w:lineRule="exact"/>
        <w:ind w:left="479" w:leftChars="228" w:firstLine="0" w:firstLineChars="0"/>
        <w:rPr>
          <w:rFonts w:hint="eastAsia" w:cs="宋体"/>
          <w:sz w:val="24"/>
          <w:lang w:val="en-US" w:eastAsia="zh-CN"/>
        </w:rPr>
      </w:pPr>
      <w:r>
        <w:rPr>
          <w:rFonts w:hint="eastAsia" w:cs="宋体"/>
          <w:sz w:val="24"/>
          <w:lang w:val="en-US" w:eastAsia="zh-CN"/>
        </w:rPr>
        <w:t>咨询机构有下列情形之一的，采购人可以对其提出警告、扣减咨询费用、终止合同、向有管理权限的部门通报：</w:t>
      </w:r>
    </w:p>
    <w:p w14:paraId="300D9B84">
      <w:pPr>
        <w:pStyle w:val="35"/>
        <w:tabs>
          <w:tab w:val="left" w:pos="0"/>
        </w:tabs>
        <w:wordWrap w:val="0"/>
        <w:spacing w:line="440" w:lineRule="exact"/>
        <w:ind w:left="482" w:firstLine="480"/>
        <w:rPr>
          <w:rFonts w:hint="eastAsia" w:cs="宋体"/>
          <w:sz w:val="24"/>
          <w:lang w:val="en-US" w:eastAsia="zh-CN"/>
        </w:rPr>
      </w:pPr>
      <w:r>
        <w:rPr>
          <w:rFonts w:hint="eastAsia" w:cs="宋体"/>
          <w:sz w:val="24"/>
          <w:lang w:val="en-US" w:eastAsia="zh-CN"/>
        </w:rPr>
        <w:t>（1）咨询评估报告有重大失误或质量低劣；</w:t>
      </w:r>
    </w:p>
    <w:p w14:paraId="78EAF57D">
      <w:pPr>
        <w:pStyle w:val="35"/>
        <w:tabs>
          <w:tab w:val="left" w:pos="0"/>
        </w:tabs>
        <w:wordWrap w:val="0"/>
        <w:spacing w:line="440" w:lineRule="exact"/>
        <w:ind w:left="482" w:firstLine="480"/>
        <w:rPr>
          <w:rFonts w:hint="eastAsia" w:cs="宋体"/>
          <w:sz w:val="24"/>
          <w:lang w:val="en-US" w:eastAsia="zh-CN"/>
        </w:rPr>
      </w:pPr>
      <w:r>
        <w:rPr>
          <w:rFonts w:hint="eastAsia" w:cs="宋体"/>
          <w:sz w:val="24"/>
          <w:lang w:val="en-US" w:eastAsia="zh-CN"/>
        </w:rPr>
        <w:t>（2）工作完成时间严重超出评审工作时限要求；</w:t>
      </w:r>
    </w:p>
    <w:p w14:paraId="51EB3DA1">
      <w:pPr>
        <w:pStyle w:val="35"/>
        <w:tabs>
          <w:tab w:val="left" w:pos="0"/>
        </w:tabs>
        <w:wordWrap w:val="0"/>
        <w:spacing w:line="440" w:lineRule="exact"/>
        <w:ind w:left="482" w:firstLine="480"/>
        <w:rPr>
          <w:rFonts w:hint="eastAsia" w:cs="宋体"/>
          <w:sz w:val="24"/>
          <w:lang w:val="en-US" w:eastAsia="zh-CN"/>
        </w:rPr>
      </w:pPr>
      <w:r>
        <w:rPr>
          <w:rFonts w:hint="eastAsia" w:cs="宋体"/>
          <w:sz w:val="24"/>
          <w:lang w:val="en-US" w:eastAsia="zh-CN"/>
        </w:rPr>
        <w:t>（3）因自身工作过失造成重大损失；</w:t>
      </w:r>
    </w:p>
    <w:p w14:paraId="4983A0F9">
      <w:pPr>
        <w:pStyle w:val="35"/>
        <w:tabs>
          <w:tab w:val="left" w:pos="0"/>
        </w:tabs>
        <w:wordWrap w:val="0"/>
        <w:spacing w:line="440" w:lineRule="exact"/>
        <w:ind w:left="482" w:firstLine="480"/>
        <w:rPr>
          <w:rFonts w:hint="eastAsia" w:cs="宋体"/>
          <w:sz w:val="24"/>
          <w:lang w:val="en-US" w:eastAsia="zh-CN"/>
        </w:rPr>
      </w:pPr>
      <w:r>
        <w:rPr>
          <w:rFonts w:hint="eastAsia" w:cs="宋体"/>
          <w:sz w:val="24"/>
          <w:lang w:val="en-US" w:eastAsia="zh-CN"/>
        </w:rPr>
        <w:t>（4）咨询评估过程中未经允许私自向其他单位透露评审情况或信息；</w:t>
      </w:r>
    </w:p>
    <w:p w14:paraId="22C29E14">
      <w:pPr>
        <w:pStyle w:val="35"/>
        <w:tabs>
          <w:tab w:val="left" w:pos="0"/>
        </w:tabs>
        <w:wordWrap w:val="0"/>
        <w:spacing w:line="440" w:lineRule="exact"/>
        <w:ind w:left="482" w:firstLine="480"/>
        <w:rPr>
          <w:rFonts w:hint="eastAsia" w:cs="宋体"/>
          <w:sz w:val="24"/>
          <w:lang w:val="en-US" w:eastAsia="zh-CN"/>
        </w:rPr>
      </w:pPr>
      <w:r>
        <w:rPr>
          <w:rFonts w:hint="eastAsia" w:cs="宋体"/>
          <w:sz w:val="24"/>
          <w:lang w:val="en-US" w:eastAsia="zh-CN"/>
        </w:rPr>
        <w:t>（5）无正当理由拒绝接受委托评审咨询任务；</w:t>
      </w:r>
    </w:p>
    <w:p w14:paraId="467C7AAF">
      <w:pPr>
        <w:pStyle w:val="35"/>
        <w:tabs>
          <w:tab w:val="left" w:pos="0"/>
        </w:tabs>
        <w:wordWrap w:val="0"/>
        <w:spacing w:line="440" w:lineRule="exact"/>
        <w:ind w:left="482" w:firstLine="480"/>
        <w:rPr>
          <w:rFonts w:hint="eastAsia" w:cs="宋体"/>
          <w:sz w:val="24"/>
          <w:lang w:val="en-US" w:eastAsia="zh-CN"/>
        </w:rPr>
      </w:pPr>
      <w:r>
        <w:rPr>
          <w:rFonts w:hint="eastAsia" w:cs="宋体"/>
          <w:sz w:val="24"/>
          <w:lang w:val="en-US" w:eastAsia="zh-CN"/>
        </w:rPr>
        <w:t>（6）机构或其人员徇私舞弊，向被评审项目相关单位或个人索要财物；</w:t>
      </w:r>
    </w:p>
    <w:p w14:paraId="52FEEDA0">
      <w:pPr>
        <w:pStyle w:val="35"/>
        <w:tabs>
          <w:tab w:val="left" w:pos="0"/>
        </w:tabs>
        <w:wordWrap w:val="0"/>
        <w:spacing w:line="440" w:lineRule="exact"/>
        <w:ind w:left="482" w:firstLine="480"/>
        <w:rPr>
          <w:rFonts w:hint="default" w:eastAsia="宋体" w:cs="宋体"/>
          <w:sz w:val="24"/>
          <w:lang w:val="en-US" w:eastAsia="zh-CN"/>
        </w:rPr>
      </w:pPr>
      <w:r>
        <w:rPr>
          <w:rFonts w:hint="eastAsia" w:cs="宋体"/>
          <w:sz w:val="24"/>
          <w:lang w:val="en-US" w:eastAsia="zh-CN"/>
        </w:rPr>
        <w:t>（7）违反《工程咨询行业管理办法》有关规定或其他违反法律法规的行为。</w:t>
      </w:r>
    </w:p>
    <w:p w14:paraId="3A64A682">
      <w:pPr>
        <w:widowControl/>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2.提供成果资料：</w:t>
      </w:r>
    </w:p>
    <w:p w14:paraId="6E249FCC">
      <w:pPr>
        <w:widowControl/>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（1）成果资料包括纸质文件及相应电子文件，成果内容必须清晰完整；</w:t>
      </w:r>
    </w:p>
    <w:p w14:paraId="51882EED">
      <w:pPr>
        <w:widowControl/>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（2）按国家规定和合同约定的技术规范，按时交付合格的成果文件，并对提交的文件的质量负责；</w:t>
      </w:r>
    </w:p>
    <w:p w14:paraId="4F7BE5B4">
      <w:pPr>
        <w:widowControl/>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（3）对成果文件出现的遗漏或错误负责修改或补充；</w:t>
      </w:r>
    </w:p>
    <w:p w14:paraId="6F7B5E4E">
      <w:pPr>
        <w:widowControl/>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（4）成果按采购人需求提供，提供正式成果资料纸质文件4份，电子版（PDF盖章）1份。</w:t>
      </w:r>
    </w:p>
    <w:p w14:paraId="3E553A2B">
      <w:pPr>
        <w:widowControl/>
        <w:spacing w:line="360" w:lineRule="auto"/>
        <w:ind w:firstLine="480" w:firstLineChars="200"/>
        <w:jc w:val="left"/>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（5）需配合招标人，按主管部门要求完成项目相关工作成果的优化调整。</w:t>
      </w:r>
    </w:p>
    <w:p w14:paraId="1DF904C4">
      <w:pPr>
        <w:pStyle w:val="10"/>
        <w:rPr>
          <w:rFonts w:hint="eastAsia"/>
          <w:lang w:val="en-US" w:eastAsia="zh-CN"/>
        </w:rPr>
      </w:pPr>
    </w:p>
    <w:p w14:paraId="3031D67A">
      <w:pPr>
        <w:keepNext w:val="0"/>
        <w:keepLines w:val="0"/>
        <w:pageBreakBefore w:val="0"/>
        <w:widowControl w:val="0"/>
        <w:kinsoku/>
        <w:wordWrap/>
        <w:overflowPunct/>
        <w:topLinePunct w:val="0"/>
        <w:autoSpaceDE/>
        <w:autoSpaceDN/>
        <w:bidi w:val="0"/>
        <w:adjustRightInd/>
        <w:snapToGrid/>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511CBDAE">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1.服务期限：</w:t>
      </w:r>
    </w:p>
    <w:p w14:paraId="396ACF32">
      <w:pPr>
        <w:widowControl/>
        <w:spacing w:line="360" w:lineRule="auto"/>
        <w:ind w:firstLine="480" w:firstLineChars="200"/>
        <w:jc w:val="left"/>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供应商在收到成交通知书30日内与采购人签订合同。自收到采购人工作启动通知单之日起30个工作日内完成合同约定</w:t>
      </w:r>
      <w:r>
        <w:rPr>
          <w:rFonts w:hint="eastAsia" w:ascii="宋体" w:hAnsi="宋体" w:eastAsia="宋体" w:cs="宋体"/>
          <w:color w:val="auto"/>
          <w:kern w:val="0"/>
          <w:sz w:val="24"/>
          <w:szCs w:val="24"/>
          <w:lang w:val="en-US" w:eastAsia="zh-CN"/>
        </w:rPr>
        <w:t>的工作（如因招标人原因，经双方协商一致可延长</w:t>
      </w:r>
      <w:r>
        <w:rPr>
          <w:rFonts w:hint="eastAsia" w:ascii="宋体" w:hAnsi="宋体" w:eastAsia="宋体" w:cs="宋体"/>
          <w:color w:val="auto"/>
          <w:kern w:val="0"/>
          <w:sz w:val="24"/>
          <w:szCs w:val="24"/>
          <w:lang w:val="en-US" w:eastAsia="zh-CN"/>
        </w:rPr>
        <w:t>）。在合同未正式启用前，采购人可根据项目情况有单方面解除合同的权利。</w:t>
      </w:r>
    </w:p>
    <w:p w14:paraId="287DCD2C">
      <w:pPr>
        <w:widowControl/>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地点：绵阳市涪城区。</w:t>
      </w:r>
    </w:p>
    <w:p w14:paraId="5FAD50FD">
      <w:pPr>
        <w:widowControl/>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付款方式与条件：</w:t>
      </w:r>
    </w:p>
    <w:p w14:paraId="5AA64F92">
      <w:pPr>
        <w:widowControl/>
        <w:spacing w:line="360" w:lineRule="auto"/>
        <w:ind w:firstLine="480" w:firstLineChars="200"/>
        <w:jc w:val="left"/>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费用：总价包干，</w:t>
      </w:r>
      <w:r>
        <w:rPr>
          <w:rFonts w:hint="eastAsia" w:ascii="宋体" w:hAnsi="宋体" w:eastAsia="宋体" w:cs="宋体"/>
          <w:color w:val="auto"/>
          <w:kern w:val="0"/>
          <w:sz w:val="24"/>
          <w:szCs w:val="24"/>
          <w:lang w:val="en-US" w:eastAsia="zh-CN"/>
        </w:rPr>
        <w:t>包括项目服务期间的</w:t>
      </w:r>
      <w:r>
        <w:rPr>
          <w:rFonts w:hint="eastAsia" w:ascii="宋体" w:hAnsi="宋体" w:eastAsia="宋体" w:cs="宋体"/>
          <w:color w:val="auto"/>
          <w:kern w:val="0"/>
          <w:sz w:val="24"/>
          <w:szCs w:val="24"/>
        </w:rPr>
        <w:t>所有费用</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须包括建议书编制相关所有费用、税金</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w:t>
      </w:r>
    </w:p>
    <w:p w14:paraId="1F9C946F">
      <w:pPr>
        <w:widowControl/>
        <w:spacing w:line="360" w:lineRule="auto"/>
        <w:ind w:firstLine="480" w:firstLineChars="200"/>
        <w:jc w:val="left"/>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（2）付款方式：</w:t>
      </w:r>
    </w:p>
    <w:tbl>
      <w:tblPr>
        <w:tblStyle w:val="22"/>
        <w:tblW w:w="9878"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64"/>
        <w:gridCol w:w="1492"/>
        <w:gridCol w:w="5922"/>
      </w:tblGrid>
      <w:tr w14:paraId="2D06E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9DCC">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auto"/>
                <w:sz w:val="24"/>
                <w:szCs w:val="24"/>
                <w:u w:val="none"/>
              </w:rPr>
            </w:pPr>
            <w:r>
              <w:rPr>
                <w:rFonts w:ascii="宋体" w:hAnsi="宋体" w:eastAsia="宋体" w:cs="宋体"/>
                <w:i w:val="0"/>
                <w:iCs w:val="0"/>
                <w:color w:val="auto"/>
                <w:kern w:val="0"/>
                <w:sz w:val="24"/>
                <w:szCs w:val="24"/>
                <w:u w:val="none"/>
                <w:lang w:val="en-US" w:eastAsia="zh-CN" w:bidi="ar"/>
              </w:rPr>
              <w:t>付费次序</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top"/>
          </w:tcPr>
          <w:p w14:paraId="6AA99148">
            <w:pPr>
              <w:keepNext w:val="0"/>
              <w:keepLines w:val="0"/>
              <w:widowControl/>
              <w:suppressLineNumbers w:val="0"/>
              <w:ind w:left="0" w:leftChars="0" w:right="0" w:rightChars="0" w:firstLine="0" w:firstLineChars="0"/>
              <w:jc w:val="center"/>
              <w:textAlignment w:val="top"/>
              <w:rPr>
                <w:rFonts w:ascii="宋体" w:hAnsi="宋体" w:eastAsia="宋体" w:cs="宋体"/>
                <w:i w:val="0"/>
                <w:iCs w:val="0"/>
                <w:color w:val="auto"/>
                <w:sz w:val="24"/>
                <w:szCs w:val="24"/>
                <w:u w:val="none"/>
              </w:rPr>
            </w:pPr>
            <w:r>
              <w:rPr>
                <w:rStyle w:val="57"/>
                <w:rFonts w:hint="eastAsia"/>
                <w:color w:val="auto"/>
                <w:sz w:val="24"/>
                <w:szCs w:val="24"/>
                <w:lang w:val="en-US" w:eastAsia="zh-CN" w:bidi="ar"/>
              </w:rPr>
              <w:t>支付比例</w:t>
            </w:r>
            <w:r>
              <w:rPr>
                <w:rStyle w:val="57"/>
                <w:color w:val="auto"/>
                <w:sz w:val="24"/>
                <w:szCs w:val="24"/>
                <w:lang w:val="en-US" w:eastAsia="zh-CN" w:bidi="ar"/>
              </w:rPr>
              <w:t>%</w:t>
            </w:r>
          </w:p>
        </w:tc>
        <w:tc>
          <w:tcPr>
            <w:tcW w:w="5922" w:type="dxa"/>
            <w:tcBorders>
              <w:top w:val="single" w:color="000000" w:sz="4" w:space="0"/>
              <w:left w:val="single" w:color="000000" w:sz="4" w:space="0"/>
              <w:bottom w:val="single" w:color="000000" w:sz="4" w:space="0"/>
              <w:right w:val="single" w:color="000000" w:sz="4" w:space="0"/>
            </w:tcBorders>
            <w:shd w:val="clear" w:color="auto" w:fill="auto"/>
            <w:vAlign w:val="top"/>
          </w:tcPr>
          <w:p w14:paraId="32BA42CA">
            <w:pPr>
              <w:keepNext w:val="0"/>
              <w:keepLines w:val="0"/>
              <w:widowControl/>
              <w:suppressLineNumbers w:val="0"/>
              <w:ind w:left="0" w:leftChars="0" w:right="0" w:rightChars="0" w:firstLine="0" w:firstLineChars="0"/>
              <w:jc w:val="center"/>
              <w:textAlignment w:val="top"/>
              <w:rPr>
                <w:rFonts w:hint="default" w:ascii="Arial" w:hAnsi="Arial" w:cs="Arial"/>
                <w:i w:val="0"/>
                <w:iCs w:val="0"/>
                <w:color w:val="auto"/>
                <w:sz w:val="24"/>
                <w:szCs w:val="24"/>
                <w:u w:val="none"/>
                <w:lang w:val="en-US"/>
              </w:rPr>
            </w:pPr>
            <w:r>
              <w:rPr>
                <w:rFonts w:hint="default" w:ascii="Arial" w:hAnsi="Arial" w:eastAsia="宋体" w:cs="Arial"/>
                <w:i w:val="0"/>
                <w:iCs w:val="0"/>
                <w:color w:val="auto"/>
                <w:kern w:val="0"/>
                <w:sz w:val="24"/>
                <w:szCs w:val="24"/>
                <w:u w:val="none"/>
                <w:lang w:val="en-US" w:eastAsia="zh-CN" w:bidi="ar"/>
              </w:rPr>
              <w:br w:type="textWrapping"/>
            </w:r>
            <w:r>
              <w:rPr>
                <w:rStyle w:val="57"/>
                <w:rFonts w:hint="eastAsia"/>
                <w:color w:val="auto"/>
                <w:sz w:val="24"/>
                <w:szCs w:val="24"/>
                <w:lang w:val="en-US" w:eastAsia="zh-CN" w:bidi="ar"/>
              </w:rPr>
              <w:t>支付时间</w:t>
            </w:r>
          </w:p>
        </w:tc>
      </w:tr>
      <w:tr w14:paraId="3A1D5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6" w:hRule="atLeast"/>
        </w:trPr>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B74B">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auto"/>
                <w:sz w:val="24"/>
                <w:szCs w:val="24"/>
                <w:u w:val="none"/>
              </w:rPr>
            </w:pPr>
            <w:r>
              <w:rPr>
                <w:rFonts w:ascii="宋体" w:hAnsi="宋体" w:eastAsia="宋体" w:cs="宋体"/>
                <w:i w:val="0"/>
                <w:iCs w:val="0"/>
                <w:color w:val="auto"/>
                <w:kern w:val="0"/>
                <w:sz w:val="24"/>
                <w:szCs w:val="24"/>
                <w:u w:val="none"/>
                <w:lang w:val="en-US" w:eastAsia="zh-CN" w:bidi="ar"/>
              </w:rPr>
              <w:t>第一次付费</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3221">
            <w:pPr>
              <w:keepNext w:val="0"/>
              <w:keepLines w:val="0"/>
              <w:widowControl/>
              <w:suppressLineNumbers w:val="0"/>
              <w:ind w:left="0" w:leftChars="0" w:right="0" w:rightChars="0" w:firstLine="0" w:firstLineChars="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40</w:t>
            </w:r>
          </w:p>
        </w:tc>
        <w:tc>
          <w:tcPr>
            <w:tcW w:w="5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5482">
            <w:pPr>
              <w:keepNext w:val="0"/>
              <w:keepLines w:val="0"/>
              <w:widowControl/>
              <w:suppressLineNumbers w:val="0"/>
              <w:ind w:left="0" w:leftChars="0" w:right="0" w:rightChars="0" w:firstLine="0" w:firstLineChars="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合同签订生效后，供应商完成初稿并提交采购人后7</w:t>
            </w:r>
            <w:r>
              <w:rPr>
                <w:rFonts w:hint="eastAsia" w:ascii="宋体" w:hAnsi="宋体" w:eastAsia="宋体" w:cs="宋体"/>
                <w:i w:val="0"/>
                <w:iCs w:val="0"/>
                <w:color w:val="auto"/>
                <w:sz w:val="24"/>
                <w:szCs w:val="24"/>
                <w:u w:val="none"/>
                <w:lang w:val="en-US" w:eastAsia="zh-CN"/>
              </w:rPr>
              <w:t>个工作日</w:t>
            </w:r>
            <w:r>
              <w:rPr>
                <w:rFonts w:hint="eastAsia" w:ascii="宋体" w:hAnsi="宋体" w:eastAsia="宋体" w:cs="宋体"/>
                <w:i w:val="0"/>
                <w:iCs w:val="0"/>
                <w:color w:val="auto"/>
                <w:kern w:val="0"/>
                <w:sz w:val="24"/>
                <w:szCs w:val="24"/>
                <w:u w:val="none"/>
                <w:lang w:val="en-US" w:eastAsia="zh-CN" w:bidi="ar"/>
              </w:rPr>
              <w:t>内支付。</w:t>
            </w:r>
          </w:p>
        </w:tc>
      </w:tr>
      <w:tr w14:paraId="1B8D7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59CD">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auto"/>
                <w:sz w:val="24"/>
                <w:szCs w:val="24"/>
                <w:u w:val="none"/>
              </w:rPr>
            </w:pPr>
            <w:r>
              <w:rPr>
                <w:rFonts w:ascii="宋体" w:hAnsi="宋体" w:eastAsia="宋体" w:cs="宋体"/>
                <w:i w:val="0"/>
                <w:iCs w:val="0"/>
                <w:color w:val="auto"/>
                <w:kern w:val="0"/>
                <w:sz w:val="24"/>
                <w:szCs w:val="24"/>
                <w:u w:val="none"/>
                <w:lang w:val="en-US" w:eastAsia="zh-CN" w:bidi="ar"/>
              </w:rPr>
              <w:t>第二次付费</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D378">
            <w:pPr>
              <w:keepNext w:val="0"/>
              <w:keepLines w:val="0"/>
              <w:widowControl/>
              <w:suppressLineNumbers w:val="0"/>
              <w:ind w:left="0" w:leftChars="0" w:right="0" w:rightChars="0" w:firstLine="0" w:firstLineChars="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60</w:t>
            </w:r>
          </w:p>
        </w:tc>
        <w:tc>
          <w:tcPr>
            <w:tcW w:w="5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7425">
            <w:pPr>
              <w:keepNext w:val="0"/>
              <w:keepLines w:val="0"/>
              <w:widowControl/>
              <w:suppressLineNumbers w:val="0"/>
              <w:ind w:left="0" w:leftChars="0" w:right="0" w:rightChars="0" w:firstLine="0" w:firstLineChars="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成果提供给采购人后30个工作日内支付支付。</w:t>
            </w:r>
          </w:p>
        </w:tc>
      </w:tr>
    </w:tbl>
    <w:p w14:paraId="24D8FE99">
      <w:pPr>
        <w:rPr>
          <w:rFonts w:hint="eastAsia" w:ascii="宋体" w:hAnsi="宋体" w:eastAsiaTheme="minorEastAsia" w:cstheme="minorBidi"/>
          <w:b w:val="0"/>
          <w:bCs w:val="0"/>
          <w:kern w:val="2"/>
          <w:sz w:val="21"/>
          <w:szCs w:val="21"/>
          <w:lang w:val="en-US" w:eastAsia="zh-CN" w:bidi="ar-SA"/>
        </w:rPr>
      </w:pPr>
    </w:p>
    <w:p w14:paraId="20B00812">
      <w:pPr>
        <w:pStyle w:val="20"/>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15800F1">
      <w:pPr>
        <w:pStyle w:val="20"/>
        <w:ind w:firstLine="420" w:firstLineChars="200"/>
      </w:pPr>
      <w:r>
        <w:br w:type="page"/>
      </w:r>
    </w:p>
    <w:p w14:paraId="70A0421E">
      <w:pPr>
        <w:pStyle w:val="2"/>
        <w:numPr>
          <w:ilvl w:val="0"/>
          <w:numId w:val="19"/>
        </w:numPr>
        <w:ind w:left="402"/>
        <w:rPr>
          <w:rFonts w:hint="eastAsia"/>
        </w:rPr>
      </w:pPr>
      <w:r>
        <w:rPr>
          <w:rFonts w:hint="eastAsia"/>
        </w:rPr>
        <w:t>评分细则</w:t>
      </w:r>
    </w:p>
    <w:tbl>
      <w:tblPr>
        <w:tblStyle w:val="22"/>
        <w:tblpPr w:leftFromText="180" w:rightFromText="180" w:vertAnchor="text" w:horzAnchor="page" w:tblpX="825" w:tblpY="784"/>
        <w:tblW w:w="53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1364"/>
        <w:gridCol w:w="841"/>
        <w:gridCol w:w="7762"/>
      </w:tblGrid>
      <w:tr w14:paraId="7921B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blHeader/>
        </w:trPr>
        <w:tc>
          <w:tcPr>
            <w:tcW w:w="306" w:type="pct"/>
            <w:tcBorders>
              <w:top w:val="single" w:color="auto" w:sz="4" w:space="0"/>
              <w:left w:val="single" w:color="auto" w:sz="4" w:space="0"/>
              <w:bottom w:val="single" w:color="auto" w:sz="4" w:space="0"/>
              <w:right w:val="single" w:color="auto" w:sz="4" w:space="0"/>
            </w:tcBorders>
            <w:vAlign w:val="center"/>
          </w:tcPr>
          <w:p w14:paraId="62C24571">
            <w:pPr>
              <w:keepNext/>
              <w:keepLines/>
              <w:widowControl/>
              <w:snapToGrid w:val="0"/>
              <w:ind w:firstLine="28"/>
              <w:jc w:val="center"/>
              <w:rPr>
                <w:rFonts w:ascii="华文中宋" w:hAnsi="华文中宋" w:eastAsia="华文中宋" w:cs="宋体"/>
                <w:b/>
                <w:bCs/>
                <w:color w:val="auto"/>
                <w:sz w:val="24"/>
              </w:rPr>
            </w:pPr>
            <w:r>
              <w:rPr>
                <w:rFonts w:hint="eastAsia" w:ascii="华文中宋" w:hAnsi="华文中宋" w:eastAsia="华文中宋" w:cs="宋体"/>
                <w:b/>
                <w:bCs/>
                <w:color w:val="auto"/>
                <w:sz w:val="24"/>
              </w:rPr>
              <w:t>序号</w:t>
            </w:r>
          </w:p>
        </w:tc>
        <w:tc>
          <w:tcPr>
            <w:tcW w:w="642" w:type="pct"/>
            <w:tcBorders>
              <w:top w:val="single" w:color="auto" w:sz="4" w:space="0"/>
              <w:left w:val="single" w:color="auto" w:sz="4" w:space="0"/>
              <w:bottom w:val="single" w:color="auto" w:sz="4" w:space="0"/>
              <w:right w:val="single" w:color="auto" w:sz="4" w:space="0"/>
            </w:tcBorders>
            <w:vAlign w:val="center"/>
          </w:tcPr>
          <w:p w14:paraId="57D898AE">
            <w:pPr>
              <w:keepNext/>
              <w:keepLines/>
              <w:widowControl/>
              <w:snapToGrid w:val="0"/>
              <w:ind w:firstLine="28"/>
              <w:jc w:val="center"/>
              <w:rPr>
                <w:rFonts w:ascii="华文中宋" w:hAnsi="华文中宋" w:eastAsia="华文中宋" w:cs="宋体"/>
                <w:b/>
                <w:bCs/>
                <w:color w:val="auto"/>
                <w:sz w:val="24"/>
              </w:rPr>
            </w:pPr>
            <w:r>
              <w:rPr>
                <w:rFonts w:hint="eastAsia" w:ascii="华文中宋" w:hAnsi="华文中宋" w:eastAsia="华文中宋" w:cs="宋体"/>
                <w:b/>
                <w:bCs/>
                <w:color w:val="auto"/>
                <w:sz w:val="24"/>
              </w:rPr>
              <w:t>评分因素</w:t>
            </w:r>
          </w:p>
        </w:tc>
        <w:tc>
          <w:tcPr>
            <w:tcW w:w="396" w:type="pct"/>
            <w:tcBorders>
              <w:top w:val="single" w:color="auto" w:sz="4" w:space="0"/>
              <w:left w:val="single" w:color="auto" w:sz="4" w:space="0"/>
              <w:bottom w:val="single" w:color="auto" w:sz="4" w:space="0"/>
              <w:right w:val="single" w:color="auto" w:sz="4" w:space="0"/>
            </w:tcBorders>
            <w:vAlign w:val="center"/>
          </w:tcPr>
          <w:p w14:paraId="22384767">
            <w:pPr>
              <w:keepNext/>
              <w:keepLines/>
              <w:widowControl/>
              <w:snapToGrid w:val="0"/>
              <w:ind w:firstLine="28"/>
              <w:jc w:val="center"/>
              <w:rPr>
                <w:rFonts w:ascii="华文中宋" w:hAnsi="华文中宋" w:eastAsia="华文中宋" w:cs="宋体"/>
                <w:b/>
                <w:bCs/>
                <w:color w:val="auto"/>
                <w:sz w:val="24"/>
              </w:rPr>
            </w:pPr>
            <w:r>
              <w:rPr>
                <w:rFonts w:hint="eastAsia" w:ascii="华文中宋" w:hAnsi="华文中宋" w:eastAsia="华文中宋" w:cs="宋体"/>
                <w:b/>
                <w:bCs/>
                <w:color w:val="auto"/>
                <w:sz w:val="24"/>
              </w:rPr>
              <w:t>分 值</w:t>
            </w:r>
          </w:p>
        </w:tc>
        <w:tc>
          <w:tcPr>
            <w:tcW w:w="3654" w:type="pct"/>
            <w:tcBorders>
              <w:top w:val="single" w:color="auto" w:sz="4" w:space="0"/>
              <w:left w:val="single" w:color="auto" w:sz="4" w:space="0"/>
              <w:bottom w:val="single" w:color="auto" w:sz="4" w:space="0"/>
              <w:right w:val="single" w:color="auto" w:sz="4" w:space="0"/>
            </w:tcBorders>
            <w:vAlign w:val="center"/>
          </w:tcPr>
          <w:p w14:paraId="0C170CEC">
            <w:pPr>
              <w:keepNext/>
              <w:keepLines/>
              <w:widowControl/>
              <w:snapToGrid w:val="0"/>
              <w:ind w:firstLine="28"/>
              <w:jc w:val="center"/>
              <w:rPr>
                <w:rFonts w:ascii="华文中宋" w:hAnsi="华文中宋" w:eastAsia="华文中宋" w:cs="宋体"/>
                <w:b/>
                <w:bCs/>
                <w:color w:val="auto"/>
                <w:sz w:val="24"/>
              </w:rPr>
            </w:pPr>
            <w:r>
              <w:rPr>
                <w:rFonts w:hint="eastAsia" w:ascii="华文中宋" w:hAnsi="华文中宋" w:eastAsia="华文中宋" w:cs="宋体"/>
                <w:b/>
                <w:bCs/>
                <w:color w:val="auto"/>
                <w:sz w:val="24"/>
              </w:rPr>
              <w:t>评分标准</w:t>
            </w:r>
          </w:p>
        </w:tc>
      </w:tr>
      <w:tr w14:paraId="748E8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tblHeader/>
        </w:trPr>
        <w:tc>
          <w:tcPr>
            <w:tcW w:w="306" w:type="pct"/>
            <w:tcBorders>
              <w:top w:val="single" w:color="auto" w:sz="4" w:space="0"/>
              <w:left w:val="single" w:color="auto" w:sz="4" w:space="0"/>
              <w:bottom w:val="single" w:color="auto" w:sz="4" w:space="0"/>
              <w:right w:val="single" w:color="auto" w:sz="4" w:space="0"/>
            </w:tcBorders>
            <w:vAlign w:val="center"/>
          </w:tcPr>
          <w:p w14:paraId="4C901248">
            <w:pPr>
              <w:keepNext/>
              <w:keepLines/>
              <w:widowControl/>
              <w:snapToGrid w:val="0"/>
              <w:spacing w:line="360" w:lineRule="auto"/>
              <w:jc w:val="center"/>
              <w:rPr>
                <w:rFonts w:hint="eastAsia" w:ascii="宋体" w:hAnsi="宋体" w:eastAsia="宋体" w:cs="宋体"/>
                <w:color w:val="auto"/>
                <w:sz w:val="22"/>
                <w:szCs w:val="21"/>
              </w:rPr>
            </w:pPr>
            <w:r>
              <w:rPr>
                <w:rFonts w:hint="eastAsia" w:ascii="宋体" w:hAnsi="宋体" w:eastAsia="宋体" w:cs="宋体"/>
                <w:color w:val="auto"/>
                <w:sz w:val="22"/>
                <w:szCs w:val="21"/>
              </w:rPr>
              <w:t>1</w:t>
            </w:r>
          </w:p>
        </w:tc>
        <w:tc>
          <w:tcPr>
            <w:tcW w:w="642" w:type="pct"/>
            <w:tcBorders>
              <w:top w:val="single" w:color="auto" w:sz="4" w:space="0"/>
              <w:left w:val="single" w:color="auto" w:sz="4" w:space="0"/>
              <w:bottom w:val="single" w:color="auto" w:sz="4" w:space="0"/>
              <w:right w:val="single" w:color="auto" w:sz="4" w:space="0"/>
            </w:tcBorders>
            <w:vAlign w:val="center"/>
          </w:tcPr>
          <w:p w14:paraId="69D4D625">
            <w:pPr>
              <w:keepNext/>
              <w:keepLines/>
              <w:widowControl/>
              <w:snapToGrid w:val="0"/>
              <w:spacing w:line="360" w:lineRule="auto"/>
              <w:jc w:val="center"/>
              <w:rPr>
                <w:rFonts w:hint="eastAsia" w:ascii="宋体" w:hAnsi="宋体" w:eastAsia="宋体" w:cs="宋体"/>
                <w:color w:val="auto"/>
                <w:sz w:val="22"/>
                <w:szCs w:val="21"/>
              </w:rPr>
            </w:pPr>
            <w:r>
              <w:rPr>
                <w:rFonts w:hint="eastAsia" w:ascii="宋体" w:hAnsi="宋体" w:eastAsia="宋体" w:cs="宋体"/>
                <w:color w:val="auto"/>
                <w:sz w:val="22"/>
                <w:szCs w:val="21"/>
              </w:rPr>
              <w:t>报价</w:t>
            </w:r>
            <w:r>
              <w:rPr>
                <w:rFonts w:hint="eastAsia" w:ascii="宋体" w:hAnsi="宋体" w:eastAsia="宋体" w:cs="宋体"/>
                <w:color w:val="auto"/>
                <w:sz w:val="22"/>
                <w:szCs w:val="21"/>
                <w:lang w:val="en-US" w:eastAsia="zh-CN"/>
              </w:rPr>
              <w:t>3</w:t>
            </w:r>
            <w:r>
              <w:rPr>
                <w:rFonts w:hint="eastAsia" w:ascii="宋体" w:hAnsi="宋体" w:eastAsia="宋体" w:cs="宋体"/>
                <w:color w:val="auto"/>
                <w:sz w:val="22"/>
                <w:szCs w:val="21"/>
              </w:rPr>
              <w:t>0%</w:t>
            </w:r>
          </w:p>
        </w:tc>
        <w:tc>
          <w:tcPr>
            <w:tcW w:w="396" w:type="pct"/>
            <w:tcBorders>
              <w:top w:val="single" w:color="auto" w:sz="4" w:space="0"/>
              <w:left w:val="single" w:color="auto" w:sz="4" w:space="0"/>
              <w:bottom w:val="single" w:color="auto" w:sz="4" w:space="0"/>
              <w:right w:val="single" w:color="auto" w:sz="4" w:space="0"/>
            </w:tcBorders>
            <w:vAlign w:val="center"/>
          </w:tcPr>
          <w:p w14:paraId="138225CE">
            <w:pPr>
              <w:keepNext/>
              <w:keepLines/>
              <w:widowControl/>
              <w:snapToGrid w:val="0"/>
              <w:spacing w:line="360" w:lineRule="auto"/>
              <w:jc w:val="center"/>
              <w:rPr>
                <w:rFonts w:hint="eastAsia" w:ascii="宋体" w:hAnsi="宋体" w:eastAsia="宋体" w:cs="宋体"/>
                <w:color w:val="auto"/>
                <w:sz w:val="22"/>
                <w:szCs w:val="21"/>
              </w:rPr>
            </w:pPr>
            <w:r>
              <w:rPr>
                <w:rFonts w:hint="eastAsia" w:ascii="宋体" w:hAnsi="宋体" w:eastAsia="宋体" w:cs="宋体"/>
                <w:color w:val="auto"/>
                <w:sz w:val="22"/>
                <w:szCs w:val="21"/>
                <w:lang w:val="en-US" w:eastAsia="zh-CN"/>
              </w:rPr>
              <w:t>3</w:t>
            </w:r>
            <w:r>
              <w:rPr>
                <w:rFonts w:hint="eastAsia" w:ascii="宋体" w:hAnsi="宋体" w:eastAsia="宋体" w:cs="宋体"/>
                <w:color w:val="auto"/>
                <w:sz w:val="22"/>
                <w:szCs w:val="21"/>
              </w:rPr>
              <w:t>0分</w:t>
            </w:r>
          </w:p>
        </w:tc>
        <w:tc>
          <w:tcPr>
            <w:tcW w:w="3654" w:type="pct"/>
            <w:tcBorders>
              <w:top w:val="single" w:color="auto" w:sz="4" w:space="0"/>
              <w:left w:val="single" w:color="auto" w:sz="4" w:space="0"/>
              <w:bottom w:val="single" w:color="auto" w:sz="4" w:space="0"/>
              <w:right w:val="single" w:color="auto" w:sz="4" w:space="0"/>
            </w:tcBorders>
            <w:vAlign w:val="center"/>
          </w:tcPr>
          <w:p w14:paraId="28A56E6C">
            <w:pPr>
              <w:snapToGrid w:val="0"/>
              <w:spacing w:line="360" w:lineRule="auto"/>
              <w:jc w:val="left"/>
              <w:rPr>
                <w:rFonts w:hint="eastAsia" w:ascii="宋体" w:hAnsi="宋体" w:eastAsia="宋体" w:cs="宋体"/>
                <w:color w:val="auto"/>
                <w:sz w:val="20"/>
                <w:szCs w:val="21"/>
                <w:lang w:val="zh-CN"/>
              </w:rPr>
            </w:pPr>
            <w:r>
              <w:rPr>
                <w:rFonts w:hint="eastAsia" w:ascii="宋体" w:hAnsi="宋体" w:eastAsia="宋体" w:cs="宋体"/>
                <w:color w:val="auto"/>
                <w:sz w:val="20"/>
                <w:szCs w:val="21"/>
                <w:highlight w:val="none"/>
                <w:lang w:val="zh-CN"/>
              </w:rPr>
              <w:t>满足标书要求</w:t>
            </w:r>
            <w:r>
              <w:rPr>
                <w:rFonts w:hint="eastAsia" w:ascii="宋体" w:hAnsi="宋体" w:eastAsia="宋体" w:cs="宋体"/>
                <w:color w:val="auto"/>
                <w:sz w:val="20"/>
                <w:szCs w:val="21"/>
                <w:highlight w:val="none"/>
              </w:rPr>
              <w:t>的有效投标报价的最低价</w:t>
            </w:r>
            <w:r>
              <w:rPr>
                <w:rFonts w:hint="eastAsia" w:ascii="宋体" w:hAnsi="宋体" w:eastAsia="宋体" w:cs="宋体"/>
                <w:color w:val="auto"/>
                <w:sz w:val="20"/>
                <w:szCs w:val="21"/>
                <w:highlight w:val="none"/>
                <w:lang w:val="zh-CN"/>
              </w:rPr>
              <w:t>为评审基准价，其</w:t>
            </w:r>
            <w:r>
              <w:rPr>
                <w:rFonts w:hint="eastAsia" w:ascii="宋体" w:hAnsi="宋体" w:eastAsia="宋体" w:cs="宋体"/>
                <w:color w:val="auto"/>
                <w:sz w:val="20"/>
                <w:szCs w:val="21"/>
                <w:lang w:val="zh-CN"/>
              </w:rPr>
              <w:t>价格得分计</w:t>
            </w:r>
            <w:r>
              <w:rPr>
                <w:rFonts w:hint="eastAsia" w:ascii="宋体" w:hAnsi="宋体" w:eastAsia="宋体" w:cs="宋体"/>
                <w:color w:val="auto"/>
                <w:sz w:val="20"/>
                <w:szCs w:val="21"/>
                <w:lang w:val="en-US" w:eastAsia="zh-CN"/>
              </w:rPr>
              <w:t>3</w:t>
            </w:r>
            <w:r>
              <w:rPr>
                <w:rFonts w:hint="eastAsia" w:ascii="宋体" w:hAnsi="宋体" w:eastAsia="宋体" w:cs="宋体"/>
                <w:color w:val="auto"/>
                <w:sz w:val="20"/>
                <w:szCs w:val="21"/>
                <w:lang w:val="zh-CN"/>
              </w:rPr>
              <w:t>0分。其他投标人的价格得分统一按公式计算：报价得分＝（评审基准价/投标申请单位投标报价）×</w:t>
            </w:r>
            <w:r>
              <w:rPr>
                <w:rFonts w:hint="eastAsia" w:ascii="宋体" w:hAnsi="宋体" w:eastAsia="宋体" w:cs="宋体"/>
                <w:color w:val="auto"/>
                <w:sz w:val="20"/>
                <w:szCs w:val="21"/>
                <w:lang w:val="en-US" w:eastAsia="zh-CN"/>
              </w:rPr>
              <w:t>3</w:t>
            </w:r>
            <w:r>
              <w:rPr>
                <w:rFonts w:hint="eastAsia" w:ascii="宋体" w:hAnsi="宋体" w:eastAsia="宋体" w:cs="宋体"/>
                <w:color w:val="auto"/>
                <w:sz w:val="20"/>
                <w:szCs w:val="21"/>
                <w:lang w:val="zh-CN"/>
              </w:rPr>
              <w:t>0。</w:t>
            </w:r>
          </w:p>
          <w:p w14:paraId="08FBA66D">
            <w:pPr>
              <w:snapToGrid w:val="0"/>
              <w:spacing w:line="360" w:lineRule="auto"/>
              <w:ind w:firstLine="400" w:firstLineChars="200"/>
              <w:jc w:val="left"/>
              <w:rPr>
                <w:rFonts w:hint="eastAsia" w:ascii="宋体" w:hAnsi="宋体" w:eastAsia="宋体" w:cs="宋体"/>
                <w:color w:val="auto"/>
                <w:sz w:val="20"/>
                <w:szCs w:val="21"/>
              </w:rPr>
            </w:pPr>
            <w:r>
              <w:rPr>
                <w:rFonts w:hint="eastAsia" w:ascii="宋体" w:hAnsi="宋体" w:eastAsia="宋体" w:cs="宋体"/>
                <w:color w:val="auto"/>
                <w:sz w:val="20"/>
                <w:szCs w:val="21"/>
              </w:rPr>
              <w:t>注：超过最高限价要求的按无效文件处理。</w:t>
            </w:r>
          </w:p>
          <w:p w14:paraId="45B35395">
            <w:pPr>
              <w:keepNext/>
              <w:keepLines/>
              <w:widowControl/>
              <w:snapToGrid w:val="0"/>
              <w:spacing w:line="360" w:lineRule="auto"/>
              <w:rPr>
                <w:rFonts w:hint="eastAsia" w:ascii="宋体" w:hAnsi="宋体" w:eastAsia="宋体" w:cs="宋体"/>
                <w:color w:val="auto"/>
                <w:sz w:val="22"/>
                <w:szCs w:val="21"/>
                <w:lang w:bidi="zh-CN"/>
              </w:rPr>
            </w:pPr>
            <w:r>
              <w:rPr>
                <w:rFonts w:hint="eastAsia" w:ascii="宋体" w:hAnsi="宋体" w:eastAsia="宋体" w:cs="宋体"/>
                <w:color w:val="auto"/>
                <w:sz w:val="20"/>
                <w:szCs w:val="21"/>
              </w:rPr>
              <w:t>本项目不提供办公场地，供应商所报投标报价需自行考虑项目所有费用，包括但不限于差旅费、食宿费、人工费、加班费、材料费等因工作而产生的一切费用。</w:t>
            </w:r>
          </w:p>
        </w:tc>
      </w:tr>
      <w:tr w14:paraId="78F1D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8" w:hRule="atLeast"/>
          <w:tblHeader/>
        </w:trPr>
        <w:tc>
          <w:tcPr>
            <w:tcW w:w="306" w:type="pct"/>
            <w:tcBorders>
              <w:top w:val="single" w:color="auto" w:sz="4" w:space="0"/>
              <w:left w:val="single" w:color="auto" w:sz="4" w:space="0"/>
              <w:bottom w:val="single" w:color="auto" w:sz="4" w:space="0"/>
              <w:right w:val="single" w:color="auto" w:sz="4" w:space="0"/>
            </w:tcBorders>
            <w:vAlign w:val="center"/>
          </w:tcPr>
          <w:p w14:paraId="351363C2">
            <w:pPr>
              <w:keepNext/>
              <w:keepLines/>
              <w:widowControl/>
              <w:snapToGrid w:val="0"/>
              <w:spacing w:line="360" w:lineRule="auto"/>
              <w:ind w:firstLine="28"/>
              <w:jc w:val="center"/>
              <w:rPr>
                <w:rFonts w:hint="eastAsia" w:ascii="宋体" w:hAnsi="宋体" w:eastAsia="宋体" w:cs="宋体"/>
                <w:color w:val="auto"/>
                <w:sz w:val="22"/>
                <w:szCs w:val="21"/>
              </w:rPr>
            </w:pPr>
            <w:r>
              <w:rPr>
                <w:rFonts w:hint="eastAsia" w:ascii="宋体" w:hAnsi="宋体" w:eastAsia="宋体" w:cs="宋体"/>
                <w:color w:val="auto"/>
                <w:sz w:val="22"/>
                <w:szCs w:val="21"/>
              </w:rPr>
              <w:t>2</w:t>
            </w:r>
          </w:p>
        </w:tc>
        <w:tc>
          <w:tcPr>
            <w:tcW w:w="642" w:type="pct"/>
            <w:tcBorders>
              <w:top w:val="single" w:color="auto" w:sz="4" w:space="0"/>
              <w:left w:val="single" w:color="auto" w:sz="4" w:space="0"/>
              <w:bottom w:val="single" w:color="auto" w:sz="4" w:space="0"/>
              <w:right w:val="single" w:color="auto" w:sz="4" w:space="0"/>
            </w:tcBorders>
            <w:vAlign w:val="center"/>
          </w:tcPr>
          <w:p w14:paraId="6C5BF76D">
            <w:pPr>
              <w:keepNext/>
              <w:keepLines/>
              <w:widowControl/>
              <w:snapToGrid w:val="0"/>
              <w:spacing w:line="360" w:lineRule="auto"/>
              <w:jc w:val="center"/>
              <w:rPr>
                <w:rFonts w:hint="eastAsia" w:ascii="宋体" w:hAnsi="宋体" w:eastAsia="宋体" w:cs="宋体"/>
                <w:color w:val="auto"/>
                <w:sz w:val="22"/>
                <w:szCs w:val="21"/>
              </w:rPr>
            </w:pPr>
            <w:r>
              <w:rPr>
                <w:rFonts w:hint="eastAsia" w:ascii="宋体" w:hAnsi="宋体" w:eastAsia="宋体" w:cs="宋体"/>
                <w:color w:val="auto"/>
                <w:sz w:val="22"/>
                <w:szCs w:val="21"/>
              </w:rPr>
              <w:t>技术团队2</w:t>
            </w:r>
            <w:r>
              <w:rPr>
                <w:rFonts w:hint="eastAsia" w:ascii="宋体" w:hAnsi="宋体" w:eastAsia="宋体" w:cs="宋体"/>
                <w:color w:val="auto"/>
                <w:sz w:val="22"/>
                <w:szCs w:val="21"/>
                <w:lang w:val="en-US" w:eastAsia="zh-CN"/>
              </w:rPr>
              <w:t>0</w:t>
            </w:r>
            <w:r>
              <w:rPr>
                <w:rFonts w:hint="eastAsia" w:ascii="宋体" w:hAnsi="宋体" w:eastAsia="宋体" w:cs="宋体"/>
                <w:color w:val="auto"/>
                <w:sz w:val="22"/>
                <w:szCs w:val="21"/>
              </w:rPr>
              <w:t>%</w:t>
            </w:r>
          </w:p>
        </w:tc>
        <w:tc>
          <w:tcPr>
            <w:tcW w:w="396" w:type="pct"/>
            <w:tcBorders>
              <w:top w:val="single" w:color="auto" w:sz="4" w:space="0"/>
              <w:left w:val="single" w:color="auto" w:sz="4" w:space="0"/>
              <w:bottom w:val="single" w:color="auto" w:sz="4" w:space="0"/>
              <w:right w:val="single" w:color="auto" w:sz="4" w:space="0"/>
            </w:tcBorders>
            <w:vAlign w:val="center"/>
          </w:tcPr>
          <w:p w14:paraId="795D2E84">
            <w:pPr>
              <w:keepNext/>
              <w:keepLines/>
              <w:widowControl/>
              <w:snapToGrid w:val="0"/>
              <w:spacing w:line="360" w:lineRule="auto"/>
              <w:jc w:val="center"/>
              <w:rPr>
                <w:rFonts w:hint="eastAsia" w:ascii="宋体" w:hAnsi="宋体" w:eastAsia="宋体" w:cs="宋体"/>
                <w:color w:val="auto"/>
                <w:sz w:val="22"/>
                <w:szCs w:val="21"/>
              </w:rPr>
            </w:pPr>
            <w:r>
              <w:rPr>
                <w:rFonts w:hint="eastAsia" w:ascii="宋体" w:hAnsi="宋体" w:eastAsia="宋体" w:cs="宋体"/>
                <w:color w:val="auto"/>
                <w:sz w:val="22"/>
                <w:szCs w:val="21"/>
              </w:rPr>
              <w:t>2</w:t>
            </w:r>
            <w:r>
              <w:rPr>
                <w:rFonts w:hint="eastAsia" w:ascii="宋体" w:hAnsi="宋体" w:eastAsia="宋体" w:cs="宋体"/>
                <w:color w:val="auto"/>
                <w:sz w:val="22"/>
                <w:szCs w:val="21"/>
                <w:lang w:val="en-US" w:eastAsia="zh-CN"/>
              </w:rPr>
              <w:t>0</w:t>
            </w:r>
            <w:r>
              <w:rPr>
                <w:rFonts w:hint="eastAsia" w:ascii="宋体" w:hAnsi="宋体" w:eastAsia="宋体" w:cs="宋体"/>
                <w:color w:val="auto"/>
                <w:sz w:val="22"/>
                <w:szCs w:val="21"/>
              </w:rPr>
              <w:t>分</w:t>
            </w:r>
          </w:p>
        </w:tc>
        <w:tc>
          <w:tcPr>
            <w:tcW w:w="3654" w:type="pct"/>
            <w:tcBorders>
              <w:top w:val="single" w:color="auto" w:sz="4" w:space="0"/>
              <w:left w:val="single" w:color="auto" w:sz="4" w:space="0"/>
              <w:bottom w:val="single" w:color="auto" w:sz="4" w:space="0"/>
              <w:right w:val="single" w:color="auto" w:sz="4" w:space="0"/>
            </w:tcBorders>
            <w:vAlign w:val="center"/>
          </w:tcPr>
          <w:p w14:paraId="3E8F68EB">
            <w:pPr>
              <w:keepNext/>
              <w:keepLines/>
              <w:widowControl/>
              <w:snapToGrid w:val="0"/>
              <w:spacing w:line="360" w:lineRule="auto"/>
              <w:rPr>
                <w:rFonts w:hint="eastAsia" w:ascii="宋体" w:hAnsi="宋体" w:eastAsia="宋体" w:cs="宋体"/>
                <w:color w:val="auto"/>
                <w:sz w:val="20"/>
                <w:szCs w:val="21"/>
              </w:rPr>
            </w:pPr>
            <w:r>
              <w:rPr>
                <w:rFonts w:hint="eastAsia" w:ascii="宋体" w:hAnsi="宋体" w:eastAsia="宋体" w:cs="宋体"/>
                <w:color w:val="auto"/>
                <w:sz w:val="20"/>
                <w:szCs w:val="21"/>
                <w:lang w:val="en-US" w:eastAsia="zh-CN"/>
              </w:rPr>
              <w:t>1.项目负责人具有相关专业</w:t>
            </w:r>
            <w:r>
              <w:rPr>
                <w:rFonts w:hint="eastAsia" w:ascii="宋体" w:hAnsi="宋体" w:eastAsia="宋体" w:cs="宋体"/>
                <w:color w:val="auto"/>
                <w:sz w:val="20"/>
                <w:szCs w:val="21"/>
              </w:rPr>
              <w:t>高级职称</w:t>
            </w:r>
            <w:r>
              <w:rPr>
                <w:rFonts w:hint="eastAsia" w:ascii="宋体" w:hAnsi="宋体" w:eastAsia="宋体" w:cs="宋体"/>
                <w:color w:val="auto"/>
                <w:sz w:val="20"/>
                <w:szCs w:val="21"/>
                <w:lang w:val="en-US" w:eastAsia="zh-CN"/>
              </w:rPr>
              <w:t>得4分，同时具备注册咨询工程师得3分，满分7分</w:t>
            </w:r>
            <w:r>
              <w:rPr>
                <w:rFonts w:hint="eastAsia" w:ascii="宋体" w:hAnsi="宋体" w:eastAsia="宋体" w:cs="宋体"/>
                <w:color w:val="auto"/>
                <w:sz w:val="20"/>
                <w:szCs w:val="21"/>
              </w:rPr>
              <w:t>。</w:t>
            </w:r>
          </w:p>
          <w:p w14:paraId="5F9FDEEA">
            <w:pPr>
              <w:keepNext/>
              <w:keepLines/>
              <w:widowControl/>
              <w:snapToGrid w:val="0"/>
              <w:spacing w:line="360" w:lineRule="auto"/>
              <w:rPr>
                <w:rFonts w:hint="eastAsia" w:ascii="宋体" w:hAnsi="宋体" w:eastAsia="宋体" w:cs="宋体"/>
                <w:color w:val="auto"/>
                <w:sz w:val="20"/>
                <w:szCs w:val="21"/>
                <w:lang w:val="en-US" w:eastAsia="zh-CN"/>
              </w:rPr>
            </w:pPr>
            <w:r>
              <w:rPr>
                <w:rFonts w:hint="eastAsia" w:ascii="宋体" w:hAnsi="宋体" w:eastAsia="宋体" w:cs="宋体"/>
                <w:color w:val="auto"/>
                <w:sz w:val="20"/>
                <w:szCs w:val="21"/>
                <w:lang w:val="en-US" w:eastAsia="zh-CN"/>
              </w:rPr>
              <w:t>2.技术负责人：具有相关专业高级</w:t>
            </w:r>
            <w:r>
              <w:rPr>
                <w:rFonts w:hint="eastAsia" w:ascii="宋体" w:hAnsi="宋体" w:eastAsia="宋体" w:cs="宋体"/>
                <w:color w:val="auto"/>
                <w:sz w:val="20"/>
                <w:szCs w:val="21"/>
              </w:rPr>
              <w:t>工程师</w:t>
            </w:r>
            <w:r>
              <w:rPr>
                <w:rFonts w:hint="eastAsia" w:ascii="宋体" w:hAnsi="宋体" w:eastAsia="宋体" w:cs="宋体"/>
                <w:color w:val="auto"/>
                <w:sz w:val="20"/>
                <w:szCs w:val="21"/>
                <w:lang w:val="en-US" w:eastAsia="zh-CN"/>
              </w:rPr>
              <w:t>及以上</w:t>
            </w:r>
            <w:r>
              <w:rPr>
                <w:rFonts w:hint="eastAsia" w:ascii="宋体" w:hAnsi="宋体" w:eastAsia="宋体" w:cs="宋体"/>
                <w:color w:val="auto"/>
                <w:sz w:val="20"/>
                <w:szCs w:val="21"/>
              </w:rPr>
              <w:t>职称</w:t>
            </w:r>
            <w:r>
              <w:rPr>
                <w:rFonts w:hint="eastAsia" w:ascii="宋体" w:hAnsi="宋体" w:eastAsia="宋体" w:cs="宋体"/>
                <w:color w:val="auto"/>
                <w:sz w:val="20"/>
                <w:szCs w:val="21"/>
                <w:lang w:val="en-US" w:eastAsia="zh-CN"/>
              </w:rPr>
              <w:t>得3分，同时具备注册咨询工程师得2分，满分5分</w:t>
            </w:r>
          </w:p>
          <w:p w14:paraId="5961FC06">
            <w:pPr>
              <w:keepNext/>
              <w:keepLines/>
              <w:widowControl/>
              <w:snapToGrid w:val="0"/>
              <w:spacing w:line="360" w:lineRule="auto"/>
              <w:rPr>
                <w:rFonts w:hint="eastAsia" w:ascii="宋体" w:hAnsi="宋体" w:eastAsia="宋体" w:cs="宋体"/>
                <w:color w:val="auto"/>
                <w:sz w:val="20"/>
                <w:szCs w:val="21"/>
                <w:lang w:val="en-US" w:eastAsia="zh-CN"/>
              </w:rPr>
            </w:pPr>
            <w:r>
              <w:rPr>
                <w:rFonts w:hint="eastAsia" w:ascii="宋体" w:hAnsi="宋体" w:eastAsia="宋体" w:cs="宋体"/>
                <w:color w:val="auto"/>
                <w:sz w:val="20"/>
                <w:szCs w:val="21"/>
                <w:lang w:val="en-US" w:eastAsia="zh-CN"/>
              </w:rPr>
              <w:t>3.其他成员：具有相关专业高级</w:t>
            </w:r>
            <w:r>
              <w:rPr>
                <w:rFonts w:hint="eastAsia" w:ascii="宋体" w:hAnsi="宋体" w:eastAsia="宋体" w:cs="宋体"/>
                <w:color w:val="auto"/>
                <w:sz w:val="20"/>
                <w:szCs w:val="21"/>
              </w:rPr>
              <w:t>工程师职称</w:t>
            </w:r>
            <w:r>
              <w:rPr>
                <w:rFonts w:hint="eastAsia" w:ascii="宋体" w:hAnsi="宋体" w:eastAsia="宋体" w:cs="宋体"/>
                <w:color w:val="auto"/>
                <w:sz w:val="20"/>
                <w:szCs w:val="21"/>
                <w:lang w:val="en-US" w:eastAsia="zh-CN"/>
              </w:rPr>
              <w:t>得2分，具有相关专业中级</w:t>
            </w:r>
            <w:r>
              <w:rPr>
                <w:rFonts w:hint="eastAsia" w:ascii="宋体" w:hAnsi="宋体" w:eastAsia="宋体" w:cs="宋体"/>
                <w:color w:val="auto"/>
                <w:sz w:val="20"/>
                <w:szCs w:val="21"/>
              </w:rPr>
              <w:t>工程师职称</w:t>
            </w:r>
            <w:r>
              <w:rPr>
                <w:rFonts w:hint="eastAsia" w:ascii="宋体" w:hAnsi="宋体" w:eastAsia="宋体" w:cs="宋体"/>
                <w:color w:val="auto"/>
                <w:sz w:val="20"/>
                <w:szCs w:val="21"/>
                <w:lang w:val="en-US" w:eastAsia="zh-CN"/>
              </w:rPr>
              <w:t>得1分。</w:t>
            </w:r>
            <w:r>
              <w:rPr>
                <w:rFonts w:hint="eastAsia" w:ascii="宋体" w:hAnsi="宋体" w:eastAsia="宋体" w:cs="宋体"/>
                <w:color w:val="auto"/>
                <w:sz w:val="20"/>
                <w:szCs w:val="21"/>
              </w:rPr>
              <w:t>（人员不重复计分）</w:t>
            </w:r>
            <w:r>
              <w:rPr>
                <w:rFonts w:hint="eastAsia" w:ascii="宋体" w:hAnsi="宋体" w:eastAsia="宋体" w:cs="宋体"/>
                <w:color w:val="auto"/>
                <w:sz w:val="20"/>
                <w:szCs w:val="21"/>
                <w:lang w:val="en-US" w:eastAsia="zh-CN"/>
              </w:rPr>
              <w:t>相关专业包括：结构、给排水、暖通空调、电气专业。</w:t>
            </w:r>
            <w:r>
              <w:rPr>
                <w:rFonts w:hint="eastAsia" w:ascii="宋体" w:hAnsi="宋体" w:eastAsia="宋体" w:cs="宋体"/>
                <w:color w:val="auto"/>
                <w:sz w:val="20"/>
                <w:szCs w:val="21"/>
              </w:rPr>
              <w:t>提供上述人员职称证、注册证等扫描件或复印件证明材料</w:t>
            </w:r>
            <w:r>
              <w:rPr>
                <w:rFonts w:hint="eastAsia" w:ascii="宋体" w:hAnsi="宋体" w:eastAsia="宋体" w:cs="宋体"/>
                <w:color w:val="auto"/>
                <w:sz w:val="20"/>
                <w:szCs w:val="21"/>
                <w:lang w:eastAsia="zh-CN"/>
              </w:rPr>
              <w:t>。</w:t>
            </w:r>
          </w:p>
        </w:tc>
      </w:tr>
      <w:tr w14:paraId="63FE4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6" w:hRule="atLeast"/>
          <w:tblHeader/>
        </w:trPr>
        <w:tc>
          <w:tcPr>
            <w:tcW w:w="306" w:type="pct"/>
            <w:tcBorders>
              <w:top w:val="single" w:color="auto" w:sz="4" w:space="0"/>
              <w:left w:val="single" w:color="auto" w:sz="4" w:space="0"/>
              <w:bottom w:val="single" w:color="auto" w:sz="4" w:space="0"/>
              <w:right w:val="single" w:color="auto" w:sz="4" w:space="0"/>
            </w:tcBorders>
            <w:vAlign w:val="center"/>
          </w:tcPr>
          <w:p w14:paraId="57B9659A">
            <w:pPr>
              <w:keepNext/>
              <w:keepLines/>
              <w:widowControl/>
              <w:snapToGrid w:val="0"/>
              <w:spacing w:line="360" w:lineRule="auto"/>
              <w:ind w:firstLine="28"/>
              <w:jc w:val="center"/>
              <w:rPr>
                <w:rFonts w:hint="eastAsia" w:ascii="宋体" w:hAnsi="宋体" w:eastAsia="宋体" w:cs="宋体"/>
                <w:color w:val="auto"/>
                <w:sz w:val="22"/>
                <w:szCs w:val="21"/>
              </w:rPr>
            </w:pPr>
            <w:r>
              <w:rPr>
                <w:rFonts w:hint="eastAsia" w:ascii="宋体" w:hAnsi="宋体" w:eastAsia="宋体" w:cs="宋体"/>
                <w:color w:val="auto"/>
                <w:sz w:val="22"/>
                <w:szCs w:val="21"/>
              </w:rPr>
              <w:t>3</w:t>
            </w:r>
          </w:p>
        </w:tc>
        <w:tc>
          <w:tcPr>
            <w:tcW w:w="642" w:type="pct"/>
            <w:tcBorders>
              <w:top w:val="single" w:color="auto" w:sz="4" w:space="0"/>
              <w:left w:val="single" w:color="auto" w:sz="4" w:space="0"/>
              <w:bottom w:val="single" w:color="auto" w:sz="4" w:space="0"/>
              <w:right w:val="single" w:color="auto" w:sz="4" w:space="0"/>
            </w:tcBorders>
            <w:vAlign w:val="center"/>
          </w:tcPr>
          <w:p w14:paraId="0DE04C9A">
            <w:pPr>
              <w:keepNext/>
              <w:keepLines/>
              <w:widowControl/>
              <w:snapToGrid w:val="0"/>
              <w:spacing w:line="360" w:lineRule="auto"/>
              <w:jc w:val="center"/>
              <w:rPr>
                <w:rFonts w:hint="eastAsia" w:ascii="宋体" w:hAnsi="宋体" w:eastAsia="宋体" w:cs="宋体"/>
                <w:color w:val="auto"/>
                <w:sz w:val="22"/>
                <w:szCs w:val="21"/>
              </w:rPr>
            </w:pPr>
            <w:r>
              <w:rPr>
                <w:rFonts w:hint="eastAsia" w:ascii="宋体" w:hAnsi="宋体" w:eastAsia="宋体" w:cs="宋体"/>
                <w:color w:val="auto"/>
                <w:sz w:val="22"/>
                <w:szCs w:val="21"/>
              </w:rPr>
              <w:t>服务方案</w:t>
            </w:r>
            <w:r>
              <w:rPr>
                <w:rFonts w:hint="eastAsia" w:ascii="宋体" w:hAnsi="宋体" w:eastAsia="宋体" w:cs="宋体"/>
                <w:color w:val="auto"/>
                <w:sz w:val="22"/>
                <w:szCs w:val="21"/>
                <w:lang w:val="en-US" w:eastAsia="zh-CN"/>
              </w:rPr>
              <w:t>40</w:t>
            </w:r>
            <w:r>
              <w:rPr>
                <w:rFonts w:hint="eastAsia" w:ascii="宋体" w:hAnsi="宋体" w:eastAsia="宋体" w:cs="宋体"/>
                <w:color w:val="auto"/>
                <w:sz w:val="22"/>
                <w:szCs w:val="21"/>
              </w:rPr>
              <w:t>%</w:t>
            </w:r>
          </w:p>
          <w:p w14:paraId="018979DF">
            <w:pPr>
              <w:keepNext/>
              <w:keepLines/>
              <w:widowControl/>
              <w:snapToGrid w:val="0"/>
              <w:spacing w:line="360" w:lineRule="auto"/>
              <w:jc w:val="center"/>
              <w:rPr>
                <w:rFonts w:hint="eastAsia" w:ascii="宋体" w:hAnsi="宋体" w:eastAsia="宋体" w:cs="宋体"/>
                <w:color w:val="auto"/>
                <w:sz w:val="22"/>
                <w:szCs w:val="21"/>
              </w:rPr>
            </w:pPr>
          </w:p>
        </w:tc>
        <w:tc>
          <w:tcPr>
            <w:tcW w:w="396" w:type="pct"/>
            <w:tcBorders>
              <w:top w:val="single" w:color="auto" w:sz="4" w:space="0"/>
              <w:left w:val="single" w:color="auto" w:sz="4" w:space="0"/>
              <w:bottom w:val="single" w:color="auto" w:sz="4" w:space="0"/>
              <w:right w:val="single" w:color="auto" w:sz="4" w:space="0"/>
            </w:tcBorders>
            <w:vAlign w:val="center"/>
          </w:tcPr>
          <w:p w14:paraId="6BC01CB2">
            <w:pPr>
              <w:keepNext/>
              <w:keepLines/>
              <w:widowControl/>
              <w:snapToGrid w:val="0"/>
              <w:spacing w:line="360" w:lineRule="auto"/>
              <w:jc w:val="center"/>
              <w:rPr>
                <w:rFonts w:hint="eastAsia" w:ascii="宋体" w:hAnsi="宋体" w:eastAsia="宋体" w:cs="宋体"/>
                <w:color w:val="auto"/>
                <w:sz w:val="22"/>
                <w:szCs w:val="21"/>
              </w:rPr>
            </w:pPr>
            <w:r>
              <w:rPr>
                <w:rFonts w:hint="eastAsia" w:ascii="宋体" w:hAnsi="宋体" w:eastAsia="宋体" w:cs="宋体"/>
                <w:color w:val="auto"/>
                <w:sz w:val="22"/>
                <w:szCs w:val="21"/>
                <w:lang w:val="en-US" w:eastAsia="zh-CN"/>
              </w:rPr>
              <w:t>40</w:t>
            </w:r>
            <w:r>
              <w:rPr>
                <w:rFonts w:hint="eastAsia" w:ascii="宋体" w:hAnsi="宋体" w:eastAsia="宋体" w:cs="宋体"/>
                <w:color w:val="auto"/>
                <w:sz w:val="22"/>
                <w:szCs w:val="21"/>
              </w:rPr>
              <w:t>分</w:t>
            </w:r>
          </w:p>
        </w:tc>
        <w:tc>
          <w:tcPr>
            <w:tcW w:w="3654" w:type="pct"/>
            <w:tcBorders>
              <w:top w:val="single" w:color="auto" w:sz="4" w:space="0"/>
              <w:left w:val="single" w:color="auto" w:sz="4" w:space="0"/>
              <w:bottom w:val="single" w:color="auto" w:sz="4" w:space="0"/>
              <w:right w:val="single" w:color="auto" w:sz="4" w:space="0"/>
            </w:tcBorders>
            <w:vAlign w:val="center"/>
          </w:tcPr>
          <w:p w14:paraId="67247A5A">
            <w:pPr>
              <w:pStyle w:val="10"/>
              <w:rPr>
                <w:rFonts w:hint="eastAsia" w:ascii="宋体" w:hAnsi="宋体" w:eastAsia="宋体" w:cs="宋体"/>
                <w:color w:val="auto"/>
                <w:kern w:val="2"/>
                <w:sz w:val="20"/>
                <w:szCs w:val="21"/>
                <w:lang w:val="en-US" w:eastAsia="zh-CN" w:bidi="ar-SA"/>
              </w:rPr>
            </w:pPr>
            <w:r>
              <w:rPr>
                <w:rFonts w:hint="eastAsia" w:ascii="宋体" w:hAnsi="宋体" w:eastAsia="宋体" w:cs="宋体"/>
                <w:color w:val="auto"/>
                <w:kern w:val="2"/>
                <w:sz w:val="20"/>
                <w:szCs w:val="21"/>
                <w:lang w:val="en-US" w:eastAsia="zh-CN" w:bidi="ar-SA"/>
              </w:rPr>
              <w:t>服务方案包括以下五项：</w:t>
            </w:r>
          </w:p>
          <w:p w14:paraId="67DC6846">
            <w:pPr>
              <w:pStyle w:val="10"/>
              <w:ind w:left="0" w:leftChars="0" w:firstLine="200" w:firstLineChars="100"/>
              <w:rPr>
                <w:rFonts w:hint="eastAsia" w:ascii="宋体" w:hAnsi="宋体" w:eastAsia="宋体" w:cs="宋体"/>
                <w:color w:val="auto"/>
                <w:kern w:val="2"/>
                <w:sz w:val="20"/>
                <w:szCs w:val="21"/>
                <w:lang w:val="en-US" w:eastAsia="zh-CN" w:bidi="ar-SA"/>
              </w:rPr>
            </w:pPr>
            <w:r>
              <w:rPr>
                <w:rFonts w:hint="eastAsia" w:ascii="宋体" w:hAnsi="宋体" w:eastAsia="宋体" w:cs="宋体"/>
                <w:color w:val="auto"/>
                <w:kern w:val="2"/>
                <w:sz w:val="20"/>
                <w:szCs w:val="21"/>
                <w:lang w:val="en-US" w:eastAsia="zh-CN" w:bidi="ar-SA"/>
              </w:rPr>
              <w:t>1、项目背景及依据。</w:t>
            </w:r>
          </w:p>
          <w:p w14:paraId="1ECF6B00">
            <w:pPr>
              <w:pStyle w:val="20"/>
              <w:spacing w:after="0" w:afterAutospacing="0"/>
              <w:rPr>
                <w:rFonts w:hint="eastAsia" w:ascii="宋体" w:hAnsi="宋体" w:eastAsia="宋体" w:cs="宋体"/>
                <w:color w:val="auto"/>
                <w:sz w:val="20"/>
                <w:szCs w:val="18"/>
                <w:lang w:val="en-US" w:eastAsia="zh-CN"/>
              </w:rPr>
            </w:pPr>
            <w:r>
              <w:rPr>
                <w:rFonts w:hint="eastAsia" w:ascii="宋体" w:hAnsi="宋体" w:eastAsia="宋体" w:cs="宋体"/>
                <w:color w:val="auto"/>
                <w:sz w:val="20"/>
                <w:szCs w:val="18"/>
                <w:lang w:val="en-US" w:eastAsia="zh-CN"/>
              </w:rPr>
              <w:t>供应商应对本项目的实施现状、实施环境、实施特点、实施难点进行充分了解和分析，内容包括：①项目背景；②现状摸排。完全满足以上两点内容的得10分；有一项内容缺失的扣5分；存在缺陷或不足的扣1分；扣完为止。</w:t>
            </w:r>
          </w:p>
          <w:p w14:paraId="279AC1C4">
            <w:pPr>
              <w:pStyle w:val="20"/>
              <w:spacing w:beforeAutospacing="0" w:after="0" w:afterAutospacing="0"/>
              <w:rPr>
                <w:rFonts w:hint="eastAsia" w:ascii="宋体" w:hAnsi="宋体" w:eastAsia="宋体" w:cs="宋体"/>
                <w:color w:val="auto"/>
                <w:sz w:val="20"/>
                <w:szCs w:val="18"/>
                <w:lang w:val="en-US" w:eastAsia="zh-CN"/>
              </w:rPr>
            </w:pPr>
            <w:r>
              <w:rPr>
                <w:rFonts w:hint="eastAsia" w:ascii="宋体" w:hAnsi="宋体" w:eastAsia="宋体" w:cs="宋体"/>
                <w:color w:val="auto"/>
                <w:sz w:val="20"/>
                <w:szCs w:val="18"/>
                <w:lang w:val="en-US" w:eastAsia="zh-CN"/>
              </w:rPr>
              <w:t>2、论证方案。</w:t>
            </w:r>
          </w:p>
          <w:p w14:paraId="765458FC">
            <w:pPr>
              <w:pStyle w:val="20"/>
              <w:spacing w:beforeAutospacing="0" w:after="0" w:afterAutospacing="0"/>
              <w:rPr>
                <w:rFonts w:hint="eastAsia" w:ascii="宋体" w:hAnsi="宋体" w:eastAsia="宋体" w:cs="宋体"/>
                <w:color w:val="auto"/>
                <w:sz w:val="20"/>
                <w:szCs w:val="18"/>
                <w:lang w:val="en-US" w:eastAsia="zh-CN"/>
              </w:rPr>
            </w:pPr>
            <w:r>
              <w:rPr>
                <w:rFonts w:hint="eastAsia" w:ascii="宋体" w:hAnsi="宋体" w:eastAsia="宋体" w:cs="宋体"/>
                <w:color w:val="auto"/>
                <w:sz w:val="20"/>
                <w:szCs w:val="18"/>
                <w:lang w:val="en-US" w:eastAsia="zh-CN"/>
              </w:rPr>
              <w:t>供应商根据本项目实际情况，提供规划方案，内容包括：①总平面布局及整体指标控制；②单体平面布局；③投资估算表。完全满足以上三点内容的得12分；有一项内容缺失的扣4分；存在缺陷或不足的扣1分；扣完为止。</w:t>
            </w:r>
          </w:p>
          <w:p w14:paraId="1DDB1F76">
            <w:pPr>
              <w:pStyle w:val="20"/>
              <w:spacing w:beforeAutospacing="0" w:after="0" w:afterAutospacing="0"/>
              <w:rPr>
                <w:rFonts w:hint="eastAsia" w:ascii="宋体" w:hAnsi="宋体" w:eastAsia="宋体" w:cs="宋体"/>
                <w:color w:val="auto"/>
                <w:sz w:val="20"/>
                <w:szCs w:val="18"/>
                <w:lang w:val="en-US" w:eastAsia="zh-CN"/>
              </w:rPr>
            </w:pPr>
            <w:r>
              <w:rPr>
                <w:rFonts w:hint="eastAsia" w:ascii="宋体" w:hAnsi="宋体" w:eastAsia="宋体" w:cs="宋体"/>
                <w:color w:val="auto"/>
                <w:sz w:val="20"/>
                <w:szCs w:val="18"/>
                <w:lang w:val="en-US" w:eastAsia="zh-CN"/>
              </w:rPr>
              <w:t>3、质量保证措施。</w:t>
            </w:r>
          </w:p>
          <w:p w14:paraId="44A496F2">
            <w:pPr>
              <w:pStyle w:val="20"/>
              <w:spacing w:beforeAutospacing="0" w:after="0" w:afterAutospacing="0"/>
              <w:rPr>
                <w:rFonts w:hint="eastAsia" w:ascii="宋体" w:hAnsi="宋体" w:eastAsia="宋体" w:cs="宋体"/>
                <w:color w:val="auto"/>
                <w:sz w:val="20"/>
                <w:szCs w:val="18"/>
                <w:lang w:val="en-US" w:eastAsia="zh-CN"/>
              </w:rPr>
            </w:pPr>
            <w:r>
              <w:rPr>
                <w:rFonts w:hint="eastAsia" w:ascii="宋体" w:hAnsi="宋体" w:eastAsia="宋体" w:cs="宋体"/>
                <w:color w:val="auto"/>
                <w:sz w:val="20"/>
                <w:szCs w:val="18"/>
                <w:lang w:val="en-US" w:eastAsia="zh-CN"/>
              </w:rPr>
              <w:t>供应商根据本项目实际情况提供质量保证措施，完全满足要求的得8分，存在缺陷或不足的扣1分；扣完为止。不提供不得分。</w:t>
            </w:r>
          </w:p>
          <w:p w14:paraId="663F116A">
            <w:pPr>
              <w:pStyle w:val="20"/>
              <w:spacing w:beforeAutospacing="0" w:after="0" w:afterAutospacing="0"/>
              <w:rPr>
                <w:rFonts w:hint="eastAsia" w:ascii="宋体" w:hAnsi="宋体" w:eastAsia="宋体" w:cs="宋体"/>
                <w:color w:val="auto"/>
                <w:sz w:val="20"/>
                <w:szCs w:val="18"/>
                <w:lang w:val="en-US" w:eastAsia="zh-CN"/>
              </w:rPr>
            </w:pPr>
            <w:r>
              <w:rPr>
                <w:rFonts w:hint="eastAsia" w:ascii="宋体" w:hAnsi="宋体" w:eastAsia="宋体" w:cs="宋体"/>
                <w:color w:val="auto"/>
                <w:sz w:val="20"/>
                <w:szCs w:val="18"/>
                <w:lang w:val="en-US" w:eastAsia="zh-CN"/>
              </w:rPr>
              <w:t>4、进度保障措施。</w:t>
            </w:r>
          </w:p>
          <w:p w14:paraId="24A7DE63">
            <w:pPr>
              <w:pStyle w:val="20"/>
              <w:spacing w:beforeAutospacing="0" w:after="0" w:afterAutospacing="0"/>
              <w:rPr>
                <w:rFonts w:hint="eastAsia" w:ascii="宋体" w:hAnsi="宋体" w:eastAsia="宋体" w:cs="宋体"/>
                <w:color w:val="auto"/>
                <w:sz w:val="20"/>
                <w:szCs w:val="18"/>
                <w:lang w:val="en-US" w:eastAsia="zh-CN"/>
              </w:rPr>
            </w:pPr>
            <w:r>
              <w:rPr>
                <w:rFonts w:hint="eastAsia" w:ascii="宋体" w:hAnsi="宋体" w:eastAsia="宋体" w:cs="宋体"/>
                <w:color w:val="auto"/>
                <w:sz w:val="20"/>
                <w:szCs w:val="18"/>
                <w:lang w:val="en-US" w:eastAsia="zh-CN"/>
              </w:rPr>
              <w:t>供应商根据本项目实际情况提供保障措施，完全满足要求的得8分，存在缺陷或不足的扣1分；扣完为止，不提供不得分。</w:t>
            </w:r>
          </w:p>
          <w:p w14:paraId="0512EC8F">
            <w:pPr>
              <w:pStyle w:val="10"/>
              <w:rPr>
                <w:rFonts w:hint="eastAsia" w:ascii="宋体" w:hAnsi="宋体" w:eastAsia="宋体" w:cs="宋体"/>
                <w:color w:val="auto"/>
                <w:sz w:val="20"/>
                <w:szCs w:val="21"/>
              </w:rPr>
            </w:pPr>
            <w:r>
              <w:rPr>
                <w:rFonts w:hint="eastAsia" w:ascii="宋体" w:hAnsi="宋体" w:eastAsia="宋体" w:cs="宋体"/>
                <w:color w:val="auto"/>
                <w:kern w:val="2"/>
                <w:sz w:val="20"/>
                <w:szCs w:val="21"/>
                <w:lang w:val="en-US" w:eastAsia="zh-CN" w:bidi="ar-SA"/>
              </w:rPr>
              <w:t>缺陷是指：内容过于简略，对要求内容未进行必要的详细描述，内容非专门针对本项目或不适用项目特性、内容不完整或缺少关键节点、套用其他项目方案、内容前后矛盾、涉及的规范及标准错误、不利于项目实施、不可能实现的情形等任意一种情形。</w:t>
            </w:r>
          </w:p>
        </w:tc>
      </w:tr>
      <w:tr w14:paraId="1D197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blHeader/>
        </w:trPr>
        <w:tc>
          <w:tcPr>
            <w:tcW w:w="306" w:type="pct"/>
            <w:tcBorders>
              <w:top w:val="single" w:color="auto" w:sz="4" w:space="0"/>
              <w:left w:val="single" w:color="auto" w:sz="4" w:space="0"/>
              <w:bottom w:val="single" w:color="auto" w:sz="4" w:space="0"/>
              <w:right w:val="single" w:color="auto" w:sz="4" w:space="0"/>
            </w:tcBorders>
            <w:vAlign w:val="center"/>
          </w:tcPr>
          <w:p w14:paraId="228766CE">
            <w:pPr>
              <w:keepNext/>
              <w:keepLines/>
              <w:widowControl/>
              <w:snapToGrid w:val="0"/>
              <w:spacing w:line="360" w:lineRule="auto"/>
              <w:ind w:firstLine="28"/>
              <w:jc w:val="center"/>
              <w:rPr>
                <w:rFonts w:hint="eastAsia" w:ascii="宋体" w:hAnsi="宋体" w:eastAsia="宋体" w:cs="宋体"/>
                <w:color w:val="auto"/>
                <w:sz w:val="22"/>
                <w:szCs w:val="21"/>
                <w:lang w:val="en-US" w:eastAsia="zh-CN"/>
              </w:rPr>
            </w:pPr>
            <w:r>
              <w:rPr>
                <w:rFonts w:hint="eastAsia" w:ascii="宋体" w:hAnsi="宋体" w:eastAsia="宋体" w:cs="宋体"/>
                <w:color w:val="auto"/>
                <w:sz w:val="22"/>
                <w:szCs w:val="21"/>
                <w:lang w:val="en-US" w:eastAsia="zh-CN"/>
              </w:rPr>
              <w:t>4</w:t>
            </w:r>
          </w:p>
        </w:tc>
        <w:tc>
          <w:tcPr>
            <w:tcW w:w="642" w:type="pct"/>
            <w:tcBorders>
              <w:top w:val="single" w:color="auto" w:sz="4" w:space="0"/>
              <w:left w:val="single" w:color="auto" w:sz="4" w:space="0"/>
              <w:bottom w:val="single" w:color="auto" w:sz="4" w:space="0"/>
              <w:right w:val="single" w:color="auto" w:sz="4" w:space="0"/>
            </w:tcBorders>
            <w:vAlign w:val="center"/>
          </w:tcPr>
          <w:p w14:paraId="26B31AA5">
            <w:pPr>
              <w:keepNext/>
              <w:keepLines/>
              <w:widowControl/>
              <w:snapToGrid w:val="0"/>
              <w:spacing w:line="360" w:lineRule="auto"/>
              <w:jc w:val="center"/>
              <w:rPr>
                <w:rFonts w:hint="eastAsia" w:ascii="宋体" w:hAnsi="宋体" w:eastAsia="宋体" w:cs="宋体"/>
                <w:color w:val="auto"/>
                <w:sz w:val="22"/>
                <w:szCs w:val="21"/>
                <w:lang w:val="en-US" w:eastAsia="zh-CN"/>
              </w:rPr>
            </w:pPr>
            <w:r>
              <w:rPr>
                <w:rFonts w:hint="eastAsia" w:ascii="宋体" w:hAnsi="宋体" w:eastAsia="宋体" w:cs="宋体"/>
                <w:color w:val="auto"/>
                <w:sz w:val="22"/>
                <w:szCs w:val="21"/>
                <w:lang w:val="en-US" w:eastAsia="zh-CN"/>
              </w:rPr>
              <w:t>行业资质5</w:t>
            </w:r>
            <w:r>
              <w:rPr>
                <w:rFonts w:hint="eastAsia" w:ascii="宋体" w:hAnsi="宋体" w:eastAsia="宋体" w:cs="宋体"/>
                <w:color w:val="auto"/>
                <w:sz w:val="22"/>
                <w:szCs w:val="21"/>
              </w:rPr>
              <w:t>%</w:t>
            </w:r>
          </w:p>
        </w:tc>
        <w:tc>
          <w:tcPr>
            <w:tcW w:w="396" w:type="pct"/>
            <w:tcBorders>
              <w:top w:val="single" w:color="auto" w:sz="4" w:space="0"/>
              <w:left w:val="single" w:color="auto" w:sz="4" w:space="0"/>
              <w:bottom w:val="single" w:color="auto" w:sz="4" w:space="0"/>
              <w:right w:val="single" w:color="auto" w:sz="4" w:space="0"/>
            </w:tcBorders>
            <w:vAlign w:val="center"/>
          </w:tcPr>
          <w:p w14:paraId="727A90A1">
            <w:pPr>
              <w:keepNext/>
              <w:keepLines/>
              <w:widowControl/>
              <w:snapToGrid w:val="0"/>
              <w:spacing w:line="360" w:lineRule="auto"/>
              <w:jc w:val="center"/>
              <w:rPr>
                <w:rFonts w:hint="eastAsia" w:ascii="宋体" w:hAnsi="宋体" w:eastAsia="宋体" w:cs="宋体"/>
                <w:color w:val="auto"/>
                <w:sz w:val="22"/>
                <w:szCs w:val="21"/>
                <w:lang w:val="en-US" w:eastAsia="zh-CN"/>
              </w:rPr>
            </w:pPr>
            <w:r>
              <w:rPr>
                <w:rFonts w:hint="eastAsia" w:ascii="宋体" w:hAnsi="宋体" w:eastAsia="宋体" w:cs="宋体"/>
                <w:color w:val="auto"/>
                <w:sz w:val="22"/>
                <w:szCs w:val="21"/>
                <w:lang w:val="en-US" w:eastAsia="zh-CN"/>
              </w:rPr>
              <w:t>5分</w:t>
            </w:r>
          </w:p>
        </w:tc>
        <w:tc>
          <w:tcPr>
            <w:tcW w:w="3654" w:type="pct"/>
            <w:tcBorders>
              <w:top w:val="single" w:color="auto" w:sz="4" w:space="0"/>
              <w:left w:val="single" w:color="auto" w:sz="4" w:space="0"/>
              <w:bottom w:val="single" w:color="auto" w:sz="4" w:space="0"/>
              <w:right w:val="single" w:color="auto" w:sz="4" w:space="0"/>
            </w:tcBorders>
            <w:vAlign w:val="center"/>
          </w:tcPr>
          <w:p w14:paraId="6D5F9800">
            <w:pPr>
              <w:pStyle w:val="10"/>
              <w:rPr>
                <w:rFonts w:hint="eastAsia" w:ascii="宋体" w:hAnsi="宋体" w:eastAsia="宋体" w:cs="宋体"/>
                <w:color w:val="auto"/>
                <w:kern w:val="2"/>
                <w:sz w:val="20"/>
                <w:szCs w:val="21"/>
                <w:lang w:val="en-US" w:eastAsia="zh-CN" w:bidi="ar-SA"/>
              </w:rPr>
            </w:pPr>
            <w:r>
              <w:rPr>
                <w:rFonts w:hint="eastAsia" w:ascii="宋体" w:hAnsi="宋体" w:eastAsia="宋体" w:cs="宋体"/>
                <w:color w:val="auto"/>
                <w:kern w:val="2"/>
                <w:sz w:val="20"/>
                <w:szCs w:val="21"/>
                <w:lang w:val="en-US" w:eastAsia="zh-CN" w:bidi="ar-SA"/>
              </w:rPr>
              <w:t>提供全国投资项目在线审批监管平台工程咨询单位备案证明（建筑专业）的得5分，不提供的不得分。（需提供相关证明资料）</w:t>
            </w:r>
          </w:p>
        </w:tc>
      </w:tr>
      <w:tr w14:paraId="3A44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trPr>
        <w:tc>
          <w:tcPr>
            <w:tcW w:w="306" w:type="pct"/>
            <w:tcBorders>
              <w:top w:val="single" w:color="auto" w:sz="4" w:space="0"/>
              <w:left w:val="single" w:color="auto" w:sz="4" w:space="0"/>
              <w:bottom w:val="single" w:color="auto" w:sz="4" w:space="0"/>
              <w:right w:val="single" w:color="auto" w:sz="4" w:space="0"/>
            </w:tcBorders>
            <w:vAlign w:val="center"/>
          </w:tcPr>
          <w:p w14:paraId="79C34140">
            <w:pPr>
              <w:keepNext/>
              <w:keepLines/>
              <w:widowControl/>
              <w:snapToGrid w:val="0"/>
              <w:spacing w:line="360" w:lineRule="auto"/>
              <w:ind w:firstLine="28"/>
              <w:jc w:val="center"/>
              <w:rPr>
                <w:rFonts w:hint="eastAsia" w:ascii="宋体" w:hAnsi="宋体" w:eastAsia="宋体" w:cs="宋体"/>
                <w:color w:val="auto"/>
                <w:sz w:val="22"/>
                <w:szCs w:val="21"/>
                <w:lang w:val="en-US" w:eastAsia="zh-CN"/>
              </w:rPr>
            </w:pPr>
            <w:r>
              <w:rPr>
                <w:rFonts w:hint="eastAsia" w:ascii="宋体" w:hAnsi="宋体" w:eastAsia="宋体" w:cs="宋体"/>
                <w:color w:val="auto"/>
                <w:sz w:val="22"/>
                <w:szCs w:val="21"/>
                <w:lang w:val="en-US" w:eastAsia="zh-CN"/>
              </w:rPr>
              <w:t>5</w:t>
            </w:r>
          </w:p>
        </w:tc>
        <w:tc>
          <w:tcPr>
            <w:tcW w:w="642" w:type="pct"/>
            <w:tcBorders>
              <w:top w:val="single" w:color="auto" w:sz="4" w:space="0"/>
              <w:left w:val="single" w:color="auto" w:sz="4" w:space="0"/>
              <w:bottom w:val="single" w:color="auto" w:sz="4" w:space="0"/>
              <w:right w:val="single" w:color="auto" w:sz="4" w:space="0"/>
            </w:tcBorders>
            <w:vAlign w:val="center"/>
          </w:tcPr>
          <w:p w14:paraId="666F396A">
            <w:pPr>
              <w:keepNext/>
              <w:keepLines/>
              <w:widowControl/>
              <w:snapToGrid w:val="0"/>
              <w:spacing w:line="360" w:lineRule="auto"/>
              <w:jc w:val="center"/>
              <w:rPr>
                <w:rFonts w:hint="eastAsia" w:ascii="宋体" w:hAnsi="宋体" w:eastAsia="宋体" w:cs="宋体"/>
                <w:color w:val="auto"/>
                <w:sz w:val="22"/>
                <w:szCs w:val="21"/>
                <w:lang w:val="en-US" w:eastAsia="zh-CN"/>
              </w:rPr>
            </w:pPr>
            <w:r>
              <w:rPr>
                <w:rFonts w:hint="eastAsia" w:ascii="宋体" w:hAnsi="宋体" w:eastAsia="宋体" w:cs="宋体"/>
                <w:color w:val="auto"/>
                <w:sz w:val="22"/>
                <w:szCs w:val="21"/>
                <w:lang w:val="en-US" w:eastAsia="zh-CN"/>
              </w:rPr>
              <w:t>类似业绩5%</w:t>
            </w:r>
          </w:p>
        </w:tc>
        <w:tc>
          <w:tcPr>
            <w:tcW w:w="396" w:type="pct"/>
            <w:tcBorders>
              <w:top w:val="single" w:color="auto" w:sz="4" w:space="0"/>
              <w:left w:val="single" w:color="auto" w:sz="4" w:space="0"/>
              <w:bottom w:val="single" w:color="auto" w:sz="4" w:space="0"/>
              <w:right w:val="single" w:color="auto" w:sz="4" w:space="0"/>
            </w:tcBorders>
            <w:vAlign w:val="center"/>
          </w:tcPr>
          <w:p w14:paraId="7654F58A">
            <w:pPr>
              <w:keepNext/>
              <w:keepLines/>
              <w:widowControl/>
              <w:snapToGrid w:val="0"/>
              <w:spacing w:line="360" w:lineRule="auto"/>
              <w:jc w:val="center"/>
              <w:rPr>
                <w:rFonts w:hint="eastAsia" w:ascii="宋体" w:hAnsi="宋体" w:eastAsia="宋体" w:cs="宋体"/>
                <w:color w:val="auto"/>
                <w:sz w:val="22"/>
                <w:szCs w:val="21"/>
                <w:lang w:val="en-US" w:eastAsia="zh-CN"/>
              </w:rPr>
            </w:pPr>
            <w:r>
              <w:rPr>
                <w:rFonts w:hint="eastAsia" w:ascii="宋体" w:hAnsi="宋体" w:eastAsia="宋体" w:cs="宋体"/>
                <w:color w:val="auto"/>
                <w:sz w:val="22"/>
                <w:szCs w:val="21"/>
                <w:lang w:val="en-US" w:eastAsia="zh-CN"/>
              </w:rPr>
              <w:t>5分</w:t>
            </w:r>
          </w:p>
        </w:tc>
        <w:tc>
          <w:tcPr>
            <w:tcW w:w="3654" w:type="pct"/>
            <w:tcBorders>
              <w:top w:val="single" w:color="auto" w:sz="4" w:space="0"/>
              <w:left w:val="single" w:color="auto" w:sz="4" w:space="0"/>
              <w:bottom w:val="single" w:color="auto" w:sz="4" w:space="0"/>
              <w:right w:val="single" w:color="auto" w:sz="4" w:space="0"/>
            </w:tcBorders>
            <w:vAlign w:val="center"/>
          </w:tcPr>
          <w:p w14:paraId="7EDDF0E5">
            <w:pPr>
              <w:pStyle w:val="10"/>
              <w:rPr>
                <w:rFonts w:hint="eastAsia" w:ascii="宋体" w:hAnsi="宋体" w:eastAsia="宋体" w:cs="宋体"/>
                <w:color w:val="auto"/>
                <w:kern w:val="2"/>
                <w:sz w:val="20"/>
                <w:szCs w:val="21"/>
                <w:lang w:val="en-US" w:eastAsia="zh-CN" w:bidi="ar-SA"/>
              </w:rPr>
            </w:pPr>
            <w:r>
              <w:rPr>
                <w:rFonts w:hint="eastAsia" w:ascii="宋体" w:hAnsi="宋体" w:eastAsia="宋体" w:cs="宋体"/>
                <w:color w:val="auto"/>
                <w:kern w:val="2"/>
                <w:sz w:val="20"/>
                <w:szCs w:val="21"/>
                <w:lang w:val="en-US" w:eastAsia="zh-CN" w:bidi="ar-SA"/>
              </w:rPr>
              <w:t>提供类似项目业绩的1个得2.5分，满分5分。需提供项目合同或其他证明材料。类似业绩的定义为“公共建筑类的项目建议书编制”项目。</w:t>
            </w:r>
          </w:p>
        </w:tc>
      </w:tr>
    </w:tbl>
    <w:p w14:paraId="0E4EFF04">
      <w:pPr>
        <w:rPr>
          <w:rFonts w:hint="eastAsia"/>
        </w:rPr>
      </w:pPr>
    </w:p>
    <w:p w14:paraId="12E88BB9">
      <w:pPr>
        <w:pStyle w:val="10"/>
        <w:rPr>
          <w:rFonts w:hint="eastAsia" w:ascii="宋体" w:hAnsi="宋体" w:eastAsia="宋体" w:cs="宋体"/>
          <w:sz w:val="20"/>
          <w:szCs w:val="21"/>
        </w:rPr>
      </w:pPr>
    </w:p>
    <w:p w14:paraId="511494FE">
      <w:pPr>
        <w:rPr>
          <w:rFonts w:hint="eastAsia"/>
        </w:rPr>
      </w:pPr>
    </w:p>
    <w:p w14:paraId="087DA9F2">
      <w:pPr>
        <w:pStyle w:val="10"/>
        <w:rPr>
          <w:rFonts w:hint="eastAsia"/>
        </w:rPr>
      </w:pPr>
    </w:p>
    <w:p w14:paraId="252BC2BD">
      <w:pPr>
        <w:rPr>
          <w:rFonts w:hint="eastAsia"/>
        </w:rPr>
      </w:pPr>
    </w:p>
    <w:p w14:paraId="6802AE5C">
      <w:pPr>
        <w:pStyle w:val="2"/>
        <w:numPr>
          <w:ilvl w:val="0"/>
          <w:numId w:val="0"/>
        </w:numPr>
        <w:jc w:val="both"/>
        <w:rPr>
          <w:rFonts w:hint="eastAsia"/>
        </w:rPr>
      </w:pPr>
      <w:bookmarkStart w:id="10" w:name="_Toc5913"/>
      <w:bookmarkStart w:id="11" w:name="_Toc29819"/>
      <w:bookmarkStart w:id="12" w:name="_Toc4960"/>
    </w:p>
    <w:p w14:paraId="4A63B933">
      <w:pPr>
        <w:pStyle w:val="2"/>
        <w:numPr>
          <w:ilvl w:val="0"/>
          <w:numId w:val="0"/>
        </w:numPr>
        <w:ind w:firstLine="3253" w:firstLineChars="900"/>
        <w:jc w:val="both"/>
      </w:pPr>
      <w:r>
        <w:rPr>
          <w:rFonts w:hint="eastAsia"/>
        </w:rPr>
        <w:t>第六章 响应文件格式</w:t>
      </w:r>
    </w:p>
    <w:p w14:paraId="5D1246A6">
      <w:pPr>
        <w:jc w:val="left"/>
        <w:rPr>
          <w:rFonts w:ascii="仿宋" w:hAnsi="仿宋" w:eastAsia="仿宋" w:cs="仿宋"/>
          <w:sz w:val="28"/>
          <w:szCs w:val="24"/>
        </w:rPr>
      </w:pPr>
    </w:p>
    <w:p w14:paraId="63471D66">
      <w:pPr>
        <w:jc w:val="left"/>
        <w:rPr>
          <w:rFonts w:ascii="仿宋" w:hAnsi="仿宋" w:eastAsia="仿宋" w:cs="仿宋"/>
          <w:sz w:val="28"/>
          <w:szCs w:val="24"/>
        </w:rPr>
      </w:pPr>
      <w:r>
        <w:rPr>
          <w:rFonts w:hint="eastAsia" w:ascii="仿宋" w:hAnsi="仿宋" w:eastAsia="仿宋" w:cs="仿宋"/>
          <w:sz w:val="28"/>
          <w:szCs w:val="24"/>
        </w:rPr>
        <w:t>（响应文件封面）</w:t>
      </w:r>
      <w:bookmarkEnd w:id="10"/>
      <w:bookmarkEnd w:id="11"/>
      <w:bookmarkEnd w:id="12"/>
    </w:p>
    <w:p w14:paraId="6C43378F">
      <w:pPr>
        <w:rPr>
          <w:rFonts w:ascii="仿宋" w:hAnsi="仿宋" w:eastAsia="仿宋" w:cs="仿宋"/>
          <w:sz w:val="28"/>
          <w:szCs w:val="28"/>
        </w:rPr>
      </w:pPr>
    </w:p>
    <w:p w14:paraId="5321D20A">
      <w:pPr>
        <w:jc w:val="left"/>
        <w:rPr>
          <w:rFonts w:ascii="仿宋" w:hAnsi="仿宋" w:eastAsia="仿宋" w:cs="仿宋"/>
          <w:sz w:val="24"/>
          <w:szCs w:val="24"/>
        </w:rPr>
      </w:pPr>
      <w:bookmarkStart w:id="13" w:name="_Toc30609"/>
      <w:bookmarkStart w:id="14" w:name="_Toc19851"/>
      <w:bookmarkStart w:id="15" w:name="_Toc9428"/>
      <w:r>
        <w:rPr>
          <w:rFonts w:hint="eastAsia" w:ascii="仿宋" w:hAnsi="仿宋" w:eastAsia="仿宋" w:cs="仿宋"/>
          <w:sz w:val="24"/>
          <w:szCs w:val="24"/>
        </w:rPr>
        <w:t>项目名称：</w:t>
      </w:r>
      <w:bookmarkEnd w:id="13"/>
      <w:bookmarkEnd w:id="14"/>
      <w:bookmarkEnd w:id="15"/>
    </w:p>
    <w:p w14:paraId="09C74AF7">
      <w:pPr>
        <w:jc w:val="left"/>
        <w:rPr>
          <w:rFonts w:ascii="仿宋" w:hAnsi="仿宋" w:eastAsia="仿宋" w:cs="仿宋"/>
          <w:sz w:val="24"/>
          <w:szCs w:val="24"/>
        </w:rPr>
      </w:pPr>
      <w:bookmarkStart w:id="16" w:name="_Toc1544"/>
      <w:bookmarkStart w:id="17" w:name="_Toc32352"/>
      <w:bookmarkStart w:id="18" w:name="_Toc9041"/>
    </w:p>
    <w:p w14:paraId="0AA6EE22">
      <w:pPr>
        <w:jc w:val="left"/>
        <w:rPr>
          <w:rFonts w:ascii="仿宋" w:hAnsi="仿宋" w:eastAsia="仿宋" w:cs="仿宋"/>
          <w:sz w:val="24"/>
          <w:szCs w:val="24"/>
        </w:rPr>
      </w:pPr>
      <w:r>
        <w:rPr>
          <w:rFonts w:hint="eastAsia" w:ascii="仿宋" w:hAnsi="仿宋" w:eastAsia="仿宋" w:cs="仿宋"/>
          <w:sz w:val="24"/>
          <w:szCs w:val="24"/>
        </w:rPr>
        <w:t>项目编号：</w:t>
      </w:r>
      <w:bookmarkEnd w:id="16"/>
      <w:bookmarkEnd w:id="17"/>
      <w:bookmarkEnd w:id="18"/>
    </w:p>
    <w:p w14:paraId="047A13B7">
      <w:pPr>
        <w:rPr>
          <w:rFonts w:ascii="仿宋" w:hAnsi="仿宋" w:eastAsia="仿宋" w:cs="仿宋"/>
        </w:rPr>
      </w:pPr>
    </w:p>
    <w:p w14:paraId="2DE04E0D">
      <w:pPr>
        <w:rPr>
          <w:rFonts w:ascii="仿宋" w:hAnsi="仿宋" w:eastAsia="仿宋" w:cs="仿宋"/>
        </w:rPr>
      </w:pPr>
    </w:p>
    <w:p w14:paraId="6E897DEB">
      <w:pPr>
        <w:rPr>
          <w:rFonts w:ascii="仿宋" w:hAnsi="仿宋" w:eastAsia="仿宋" w:cs="仿宋"/>
        </w:rPr>
      </w:pPr>
    </w:p>
    <w:p w14:paraId="63402F72">
      <w:pPr>
        <w:jc w:val="left"/>
        <w:rPr>
          <w:rFonts w:ascii="仿宋" w:hAnsi="仿宋" w:eastAsia="仿宋" w:cs="仿宋"/>
          <w:sz w:val="84"/>
          <w:szCs w:val="24"/>
        </w:rPr>
      </w:pPr>
      <w:bookmarkStart w:id="19" w:name="_Toc21472"/>
      <w:bookmarkStart w:id="20" w:name="_Toc24097"/>
    </w:p>
    <w:bookmarkEnd w:id="19"/>
    <w:bookmarkEnd w:id="20"/>
    <w:p w14:paraId="4413F76A">
      <w:pPr>
        <w:jc w:val="center"/>
        <w:rPr>
          <w:rFonts w:ascii="仿宋" w:hAnsi="仿宋" w:eastAsia="仿宋" w:cs="仿宋"/>
          <w:sz w:val="96"/>
          <w:szCs w:val="24"/>
        </w:rPr>
      </w:pPr>
      <w:r>
        <w:rPr>
          <w:rFonts w:hint="eastAsia" w:ascii="仿宋" w:hAnsi="仿宋" w:eastAsia="仿宋" w:cs="仿宋"/>
          <w:sz w:val="96"/>
          <w:szCs w:val="24"/>
        </w:rPr>
        <w:t>响应文件</w:t>
      </w:r>
    </w:p>
    <w:p w14:paraId="505BF567">
      <w:pPr>
        <w:rPr>
          <w:rFonts w:ascii="仿宋" w:hAnsi="仿宋" w:eastAsia="仿宋" w:cs="仿宋"/>
        </w:rPr>
      </w:pPr>
    </w:p>
    <w:p w14:paraId="5260972D">
      <w:pPr>
        <w:rPr>
          <w:rFonts w:ascii="仿宋" w:hAnsi="仿宋" w:eastAsia="仿宋" w:cs="仿宋"/>
        </w:rPr>
      </w:pPr>
    </w:p>
    <w:p w14:paraId="7FEFE42D">
      <w:pPr>
        <w:rPr>
          <w:rFonts w:ascii="仿宋" w:hAnsi="仿宋" w:eastAsia="仿宋" w:cs="仿宋"/>
        </w:rPr>
      </w:pPr>
    </w:p>
    <w:p w14:paraId="4D263056">
      <w:pPr>
        <w:rPr>
          <w:rFonts w:ascii="仿宋" w:hAnsi="仿宋" w:eastAsia="仿宋" w:cs="仿宋"/>
        </w:rPr>
      </w:pPr>
    </w:p>
    <w:p w14:paraId="111DBF69">
      <w:pPr>
        <w:rPr>
          <w:rFonts w:ascii="仿宋" w:hAnsi="仿宋" w:eastAsia="仿宋" w:cs="仿宋"/>
        </w:rPr>
      </w:pPr>
    </w:p>
    <w:p w14:paraId="090F0946">
      <w:pPr>
        <w:rPr>
          <w:rFonts w:ascii="仿宋" w:hAnsi="仿宋" w:eastAsia="仿宋" w:cs="仿宋"/>
        </w:rPr>
      </w:pPr>
    </w:p>
    <w:p w14:paraId="5EE62F2E">
      <w:pPr>
        <w:jc w:val="left"/>
        <w:rPr>
          <w:rFonts w:ascii="仿宋" w:hAnsi="仿宋" w:eastAsia="仿宋" w:cs="仿宋"/>
          <w:sz w:val="28"/>
          <w:szCs w:val="24"/>
        </w:rPr>
      </w:pPr>
      <w:bookmarkStart w:id="21" w:name="_Toc1690"/>
      <w:bookmarkStart w:id="22" w:name="_Toc32749"/>
      <w:bookmarkStart w:id="23" w:name="_Toc17163"/>
      <w:bookmarkStart w:id="24" w:name="_Toc24859"/>
      <w:r>
        <w:rPr>
          <w:rFonts w:hint="eastAsia" w:ascii="仿宋" w:hAnsi="仿宋" w:eastAsia="仿宋" w:cs="仿宋"/>
          <w:sz w:val="28"/>
          <w:szCs w:val="24"/>
        </w:rPr>
        <w:t>供应商名称（公章）：</w:t>
      </w:r>
      <w:bookmarkEnd w:id="21"/>
      <w:bookmarkEnd w:id="22"/>
      <w:bookmarkEnd w:id="23"/>
      <w:bookmarkEnd w:id="24"/>
    </w:p>
    <w:p w14:paraId="396DC5DF">
      <w:pPr>
        <w:jc w:val="left"/>
        <w:rPr>
          <w:rFonts w:ascii="仿宋" w:hAnsi="仿宋" w:eastAsia="仿宋" w:cs="仿宋"/>
          <w:sz w:val="28"/>
          <w:szCs w:val="24"/>
        </w:rPr>
      </w:pPr>
      <w:bookmarkStart w:id="25" w:name="_Toc3558"/>
      <w:bookmarkStart w:id="26" w:name="_Toc24123"/>
      <w:bookmarkStart w:id="27" w:name="_Toc6803"/>
      <w:bookmarkStart w:id="28" w:name="_Toc17905"/>
      <w:r>
        <w:rPr>
          <w:rFonts w:hint="eastAsia" w:ascii="仿宋" w:hAnsi="仿宋" w:eastAsia="仿宋" w:cs="仿宋"/>
          <w:sz w:val="28"/>
          <w:szCs w:val="24"/>
        </w:rPr>
        <w:t>法定代表人或授权代理人（签字）：</w:t>
      </w:r>
      <w:bookmarkEnd w:id="25"/>
      <w:bookmarkEnd w:id="26"/>
      <w:bookmarkEnd w:id="27"/>
      <w:bookmarkEnd w:id="28"/>
    </w:p>
    <w:p w14:paraId="598B7326">
      <w:pPr>
        <w:jc w:val="left"/>
        <w:rPr>
          <w:rFonts w:ascii="仿宋" w:hAnsi="仿宋" w:eastAsia="仿宋" w:cs="仿宋"/>
          <w:sz w:val="28"/>
          <w:szCs w:val="24"/>
        </w:rPr>
      </w:pPr>
      <w:bookmarkStart w:id="29" w:name="_Toc27135"/>
      <w:bookmarkStart w:id="30" w:name="_Toc27526"/>
      <w:bookmarkStart w:id="31" w:name="_Toc5996"/>
      <w:bookmarkStart w:id="32" w:name="_Toc2989"/>
      <w:r>
        <w:rPr>
          <w:rFonts w:hint="eastAsia" w:ascii="仿宋" w:hAnsi="仿宋" w:eastAsia="仿宋" w:cs="仿宋"/>
          <w:sz w:val="28"/>
          <w:szCs w:val="24"/>
        </w:rPr>
        <w:t>联系方式（移动电话）：</w:t>
      </w:r>
      <w:bookmarkEnd w:id="29"/>
      <w:bookmarkEnd w:id="30"/>
      <w:bookmarkEnd w:id="31"/>
      <w:bookmarkEnd w:id="32"/>
    </w:p>
    <w:p w14:paraId="43A623A5">
      <w:pPr>
        <w:jc w:val="left"/>
        <w:rPr>
          <w:rFonts w:ascii="仿宋" w:hAnsi="仿宋" w:eastAsia="仿宋" w:cs="仿宋"/>
          <w:sz w:val="28"/>
          <w:szCs w:val="24"/>
        </w:rPr>
      </w:pPr>
      <w:bookmarkStart w:id="33" w:name="_Toc5056"/>
      <w:bookmarkStart w:id="34" w:name="_Toc7233"/>
      <w:bookmarkStart w:id="35" w:name="_Toc2031"/>
      <w:bookmarkStart w:id="36" w:name="_Toc19987"/>
      <w:r>
        <w:rPr>
          <w:rFonts w:hint="eastAsia" w:ascii="仿宋" w:hAnsi="仿宋" w:eastAsia="仿宋" w:cs="仿宋"/>
          <w:sz w:val="28"/>
          <w:szCs w:val="24"/>
        </w:rPr>
        <w:t>日期：     年    月     日</w:t>
      </w:r>
      <w:bookmarkEnd w:id="33"/>
      <w:bookmarkEnd w:id="34"/>
      <w:bookmarkEnd w:id="35"/>
      <w:bookmarkEnd w:id="36"/>
    </w:p>
    <w:p w14:paraId="5C0A76E7">
      <w:pPr>
        <w:jc w:val="center"/>
        <w:rPr>
          <w:rFonts w:ascii="仿宋" w:hAnsi="仿宋" w:eastAsia="仿宋" w:cs="仿宋"/>
          <w:sz w:val="32"/>
          <w:szCs w:val="40"/>
        </w:rPr>
      </w:pPr>
      <w:bookmarkStart w:id="37" w:name="_Toc11352"/>
      <w:bookmarkStart w:id="38" w:name="_Toc14829"/>
      <w:bookmarkStart w:id="39" w:name="_Toc3023"/>
      <w:bookmarkStart w:id="40" w:name="_Toc6482"/>
      <w:bookmarkStart w:id="41" w:name="_Toc21519"/>
      <w:bookmarkStart w:id="42" w:name="_Toc16029"/>
    </w:p>
    <w:p w14:paraId="4512E9B2">
      <w:pPr>
        <w:rPr>
          <w:rStyle w:val="36"/>
          <w:rFonts w:ascii="仿宋" w:hAnsi="仿宋" w:eastAsia="仿宋" w:cs="仿宋"/>
          <w:b/>
          <w:bCs/>
          <w:sz w:val="32"/>
          <w:szCs w:val="28"/>
        </w:rPr>
      </w:pPr>
      <w:r>
        <w:rPr>
          <w:rStyle w:val="36"/>
          <w:rFonts w:hint="eastAsia" w:ascii="仿宋" w:hAnsi="仿宋" w:eastAsia="仿宋" w:cs="仿宋"/>
          <w:b/>
          <w:bCs/>
          <w:sz w:val="32"/>
          <w:szCs w:val="28"/>
        </w:rPr>
        <w:br w:type="page"/>
      </w:r>
    </w:p>
    <w:bookmarkEnd w:id="37"/>
    <w:bookmarkEnd w:id="38"/>
    <w:bookmarkEnd w:id="39"/>
    <w:bookmarkEnd w:id="40"/>
    <w:bookmarkEnd w:id="41"/>
    <w:bookmarkEnd w:id="42"/>
    <w:p w14:paraId="1B7C2E1E">
      <w:pPr>
        <w:pStyle w:val="3"/>
        <w:ind w:firstLine="0"/>
      </w:pPr>
      <w:bookmarkStart w:id="43" w:name="_Toc22676"/>
      <w:bookmarkStart w:id="44" w:name="_Toc4305"/>
      <w:bookmarkStart w:id="45" w:name="_Toc30971"/>
      <w:bookmarkStart w:id="46" w:name="_Toc31838"/>
      <w:bookmarkStart w:id="47" w:name="_Toc17857"/>
      <w:r>
        <w:rPr>
          <w:rFonts w:hint="eastAsia"/>
        </w:rPr>
        <w:t>承诺函</w:t>
      </w:r>
    </w:p>
    <w:p w14:paraId="032CC9B3">
      <w:pPr>
        <w:pStyle w:val="10"/>
        <w:rPr>
          <w:rFonts w:ascii="仿宋" w:hAnsi="仿宋" w:eastAsia="仿宋" w:cs="仿宋"/>
        </w:rPr>
      </w:pPr>
    </w:p>
    <w:p w14:paraId="5C0DB63F">
      <w:pPr>
        <w:spacing w:line="360" w:lineRule="auto"/>
        <w:rPr>
          <w:rFonts w:ascii="仿宋" w:hAnsi="仿宋" w:eastAsia="仿宋" w:cs="仿宋"/>
          <w:sz w:val="24"/>
        </w:rPr>
      </w:pPr>
      <w:r>
        <w:rPr>
          <w:rFonts w:hint="eastAsia" w:ascii="仿宋" w:hAnsi="仿宋" w:eastAsia="仿宋" w:cs="仿宋"/>
          <w:sz w:val="24"/>
        </w:rPr>
        <w:t>致绵阳市中心医院：</w:t>
      </w:r>
    </w:p>
    <w:p w14:paraId="461EE5E0">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2C7ABB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42C9A53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ACC90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7222DB2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46850E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C1DF91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（5）本项目采购活动的投标人、法定代表人(非法人负责人、自然人本人)在前3年内不得具有行贿犯罪记录；</w:t>
      </w:r>
    </w:p>
    <w:p w14:paraId="180649B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696F74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B657B12">
      <w:pPr>
        <w:pStyle w:val="10"/>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7C2DFAF7">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03CB6D27">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385BD73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055036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18F2BEC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427F7779">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5455700B">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00C63D9">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208D357F">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A4CC91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32910BF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F912D5C">
      <w:pPr>
        <w:adjustRightInd w:val="0"/>
        <w:spacing w:line="360" w:lineRule="auto"/>
        <w:rPr>
          <w:rFonts w:ascii="仿宋" w:hAnsi="仿宋" w:eastAsia="仿宋" w:cs="仿宋"/>
          <w:bCs/>
          <w:sz w:val="24"/>
        </w:rPr>
      </w:pPr>
    </w:p>
    <w:p w14:paraId="5FBA0D57">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C9057B0">
      <w:pPr>
        <w:pStyle w:val="10"/>
        <w:jc w:val="left"/>
        <w:rPr>
          <w:rFonts w:ascii="仿宋" w:hAnsi="仿宋" w:eastAsia="仿宋" w:cs="仿宋"/>
          <w:sz w:val="24"/>
        </w:rPr>
      </w:pPr>
      <w:r>
        <w:rPr>
          <w:rFonts w:hint="eastAsia" w:ascii="仿宋" w:hAnsi="仿宋" w:eastAsia="仿宋" w:cs="仿宋"/>
          <w:bCs/>
          <w:sz w:val="24"/>
        </w:rPr>
        <w:t>时间：</w:t>
      </w:r>
    </w:p>
    <w:p w14:paraId="2EDFE03D">
      <w:r>
        <w:rPr>
          <w:rFonts w:hint="eastAsia"/>
        </w:rPr>
        <w:br w:type="page"/>
      </w:r>
    </w:p>
    <w:p w14:paraId="6BA346BD">
      <w:pPr>
        <w:pStyle w:val="3"/>
        <w:ind w:left="-1" w:firstLine="0"/>
      </w:pPr>
      <w:r>
        <w:rPr>
          <w:rFonts w:hint="eastAsia"/>
        </w:rPr>
        <w:t>具有独立承担民事责任的能力</w:t>
      </w:r>
      <w:bookmarkEnd w:id="43"/>
      <w:bookmarkEnd w:id="44"/>
      <w:bookmarkEnd w:id="45"/>
      <w:bookmarkEnd w:id="46"/>
      <w:bookmarkEnd w:id="47"/>
    </w:p>
    <w:p w14:paraId="074FEAEC">
      <w:pPr>
        <w:pStyle w:val="10"/>
        <w:jc w:val="center"/>
        <w:rPr>
          <w:rFonts w:ascii="仿宋" w:hAnsi="仿宋" w:eastAsia="仿宋" w:cs="仿宋"/>
          <w:b/>
          <w:bCs/>
        </w:rPr>
      </w:pPr>
    </w:p>
    <w:p w14:paraId="7A1AF603">
      <w:pPr>
        <w:jc w:val="center"/>
        <w:rPr>
          <w:rStyle w:val="36"/>
          <w:rFonts w:ascii="仿宋" w:hAnsi="仿宋" w:eastAsia="仿宋" w:cs="仿宋"/>
          <w:sz w:val="32"/>
          <w:szCs w:val="28"/>
        </w:rPr>
      </w:pPr>
      <w:r>
        <w:rPr>
          <w:rFonts w:hint="eastAsia" w:ascii="仿宋" w:hAnsi="仿宋" w:eastAsia="仿宋" w:cs="仿宋"/>
          <w:sz w:val="32"/>
          <w:szCs w:val="36"/>
        </w:rPr>
        <w:t>（按第三章要求提供）</w:t>
      </w:r>
    </w:p>
    <w:p w14:paraId="7FF5B302">
      <w:pPr>
        <w:pStyle w:val="3"/>
        <w:ind w:firstLine="0"/>
        <w:rPr>
          <w:rStyle w:val="36"/>
          <w:rFonts w:ascii="仿宋" w:hAnsi="仿宋" w:cs="仿宋"/>
          <w:szCs w:val="28"/>
        </w:rPr>
      </w:pPr>
      <w:r>
        <w:rPr>
          <w:rFonts w:hint="eastAsia" w:ascii="仿宋" w:hAnsi="仿宋" w:cs="仿宋"/>
          <w:bCs/>
        </w:rPr>
        <w:br w:type="page"/>
      </w:r>
      <w:bookmarkStart w:id="48" w:name="_Toc27186"/>
      <w:bookmarkStart w:id="49" w:name="_Toc15613"/>
      <w:bookmarkStart w:id="50" w:name="_Toc30158"/>
      <w:r>
        <w:rPr>
          <w:rFonts w:hint="eastAsia"/>
        </w:rPr>
        <w:t>具有健全的财务会计制度的证明材料</w:t>
      </w:r>
    </w:p>
    <w:p w14:paraId="506A78DE">
      <w:pPr>
        <w:jc w:val="center"/>
      </w:pPr>
      <w:r>
        <w:rPr>
          <w:rFonts w:hint="eastAsia" w:ascii="仿宋" w:hAnsi="仿宋" w:eastAsia="仿宋" w:cs="仿宋"/>
          <w:sz w:val="32"/>
          <w:szCs w:val="36"/>
        </w:rPr>
        <w:t>（提供承诺函，格式自拟）</w:t>
      </w:r>
      <w:r>
        <w:rPr>
          <w:rFonts w:hint="eastAsia"/>
        </w:rPr>
        <w:br w:type="page"/>
      </w:r>
      <w:bookmarkEnd w:id="48"/>
      <w:bookmarkEnd w:id="49"/>
      <w:bookmarkStart w:id="51" w:name="_Toc13904"/>
      <w:bookmarkStart w:id="52" w:name="_Toc25357"/>
      <w:bookmarkStart w:id="53" w:name="_Toc13706"/>
    </w:p>
    <w:p w14:paraId="17310EC5">
      <w:pPr>
        <w:pStyle w:val="3"/>
        <w:ind w:firstLine="0"/>
      </w:pPr>
      <w:bookmarkStart w:id="54" w:name="_Toc15508"/>
      <w:bookmarkStart w:id="55" w:name="_Toc23146"/>
      <w:r>
        <w:rPr>
          <w:rFonts w:hint="eastAsia"/>
        </w:rPr>
        <w:t>本项目其他资格条件提供的证明材料</w:t>
      </w:r>
      <w:bookmarkEnd w:id="50"/>
      <w:bookmarkEnd w:id="51"/>
      <w:bookmarkEnd w:id="52"/>
      <w:bookmarkEnd w:id="53"/>
      <w:bookmarkEnd w:id="54"/>
      <w:bookmarkEnd w:id="55"/>
    </w:p>
    <w:p w14:paraId="69919F45">
      <w:pPr>
        <w:pStyle w:val="10"/>
        <w:rPr>
          <w:rFonts w:ascii="仿宋" w:hAnsi="仿宋" w:eastAsia="仿宋" w:cs="仿宋"/>
        </w:rPr>
      </w:pPr>
    </w:p>
    <w:p w14:paraId="00716D70">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71B340BB">
      <w:pPr>
        <w:pStyle w:val="27"/>
        <w:ind w:left="420" w:leftChars="200"/>
        <w:jc w:val="both"/>
        <w:rPr>
          <w:rFonts w:ascii="仿宋" w:hAnsi="仿宋" w:eastAsia="仿宋" w:cs="仿宋"/>
          <w:color w:val="auto"/>
        </w:rPr>
      </w:pPr>
    </w:p>
    <w:p w14:paraId="5830257C">
      <w:pPr>
        <w:pStyle w:val="27"/>
        <w:jc w:val="both"/>
        <w:rPr>
          <w:rFonts w:ascii="仿宋" w:hAnsi="仿宋" w:eastAsia="仿宋" w:cs="仿宋"/>
          <w:iCs/>
          <w:color w:val="auto"/>
        </w:rPr>
      </w:pPr>
      <w:r>
        <w:rPr>
          <w:rFonts w:hint="eastAsia" w:ascii="仿宋" w:hAnsi="仿宋" w:eastAsia="仿宋" w:cs="仿宋"/>
          <w:iCs/>
          <w:color w:val="auto"/>
        </w:rPr>
        <w:t>（若未涉及，填“无”即可）</w:t>
      </w:r>
    </w:p>
    <w:p w14:paraId="0C8A710C">
      <w:pPr>
        <w:pStyle w:val="3"/>
        <w:ind w:firstLine="0"/>
        <w:rPr>
          <w:rFonts w:ascii="仿宋" w:hAnsi="仿宋" w:cs="仿宋"/>
          <w:szCs w:val="32"/>
        </w:rPr>
      </w:pPr>
      <w:r>
        <w:rPr>
          <w:rFonts w:hint="eastAsia" w:ascii="仿宋" w:hAnsi="仿宋" w:cs="仿宋"/>
          <w:szCs w:val="32"/>
        </w:rPr>
        <w:br w:type="page"/>
      </w:r>
      <w:bookmarkStart w:id="56" w:name="_Toc25638"/>
      <w:bookmarkStart w:id="57" w:name="_Toc27661"/>
      <w:bookmarkStart w:id="58" w:name="_Toc20589"/>
      <w:bookmarkStart w:id="59" w:name="_Toc11351"/>
      <w:bookmarkStart w:id="60" w:name="_Toc12015"/>
      <w:bookmarkStart w:id="61" w:name="_Toc15526"/>
      <w:r>
        <w:rPr>
          <w:rStyle w:val="44"/>
          <w:rFonts w:hint="eastAsia"/>
          <w:b/>
        </w:rPr>
        <w:t>法定代表人身份证明书</w:t>
      </w:r>
      <w:bookmarkEnd w:id="56"/>
      <w:bookmarkEnd w:id="57"/>
      <w:bookmarkEnd w:id="58"/>
      <w:bookmarkEnd w:id="59"/>
      <w:bookmarkEnd w:id="60"/>
      <w:bookmarkEnd w:id="61"/>
    </w:p>
    <w:p w14:paraId="05D40DCC">
      <w:pPr>
        <w:pStyle w:val="27"/>
        <w:jc w:val="center"/>
        <w:rPr>
          <w:rFonts w:ascii="仿宋" w:hAnsi="仿宋" w:eastAsia="仿宋" w:cs="仿宋"/>
          <w:color w:val="auto"/>
        </w:rPr>
      </w:pPr>
    </w:p>
    <w:p w14:paraId="3B82AC88">
      <w:pPr>
        <w:pStyle w:val="27"/>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884B068">
      <w:pPr>
        <w:pStyle w:val="27"/>
        <w:jc w:val="center"/>
        <w:rPr>
          <w:rFonts w:ascii="仿宋" w:hAnsi="仿宋" w:eastAsia="仿宋" w:cs="仿宋"/>
          <w:color w:val="auto"/>
        </w:rPr>
      </w:pPr>
    </w:p>
    <w:p w14:paraId="03AFA725">
      <w:pPr>
        <w:pStyle w:val="27"/>
        <w:jc w:val="center"/>
        <w:rPr>
          <w:rFonts w:ascii="仿宋" w:hAnsi="仿宋" w:eastAsia="仿宋" w:cs="仿宋"/>
          <w:color w:val="auto"/>
        </w:rPr>
      </w:pPr>
    </w:p>
    <w:p w14:paraId="36D1FFBF">
      <w:pPr>
        <w:pStyle w:val="27"/>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5659FA2">
      <w:pPr>
        <w:pStyle w:val="27"/>
        <w:rPr>
          <w:rFonts w:ascii="仿宋" w:hAnsi="仿宋" w:eastAsia="仿宋" w:cs="仿宋"/>
          <w:color w:val="auto"/>
        </w:rPr>
      </w:pPr>
      <w:r>
        <w:rPr>
          <w:rFonts w:hint="eastAsia" w:ascii="仿宋" w:hAnsi="仿宋" w:eastAsia="仿宋" w:cs="仿宋"/>
          <w:color w:val="auto"/>
        </w:rPr>
        <w:t>特此证明。</w:t>
      </w:r>
    </w:p>
    <w:p w14:paraId="7F6D5CB9">
      <w:pPr>
        <w:pStyle w:val="27"/>
        <w:jc w:val="both"/>
        <w:rPr>
          <w:rFonts w:ascii="仿宋" w:hAnsi="仿宋" w:eastAsia="仿宋" w:cs="仿宋"/>
          <w:color w:val="auto"/>
        </w:rPr>
      </w:pPr>
    </w:p>
    <w:p w14:paraId="195A478C">
      <w:pPr>
        <w:pStyle w:val="27"/>
        <w:jc w:val="both"/>
        <w:rPr>
          <w:rFonts w:ascii="仿宋" w:hAnsi="仿宋" w:eastAsia="仿宋" w:cs="仿宋"/>
          <w:color w:val="auto"/>
        </w:rPr>
      </w:pPr>
    </w:p>
    <w:p w14:paraId="5433C7A8">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5760F30A">
      <w:pPr>
        <w:pStyle w:val="10"/>
        <w:jc w:val="left"/>
        <w:rPr>
          <w:rFonts w:ascii="仿宋" w:hAnsi="仿宋" w:eastAsia="仿宋" w:cs="仿宋"/>
          <w:sz w:val="24"/>
        </w:rPr>
      </w:pPr>
      <w:r>
        <w:rPr>
          <w:rFonts w:hint="eastAsia" w:ascii="仿宋" w:hAnsi="仿宋" w:eastAsia="仿宋" w:cs="仿宋"/>
          <w:bCs/>
          <w:sz w:val="24"/>
        </w:rPr>
        <w:t>时间：</w:t>
      </w:r>
    </w:p>
    <w:p w14:paraId="7E63ADEF">
      <w:pPr>
        <w:pStyle w:val="27"/>
        <w:jc w:val="center"/>
        <w:rPr>
          <w:rFonts w:ascii="仿宋" w:hAnsi="仿宋" w:eastAsia="仿宋" w:cs="仿宋"/>
          <w:color w:val="auto"/>
        </w:rPr>
      </w:pPr>
    </w:p>
    <w:p w14:paraId="00C39A75">
      <w:pPr>
        <w:pStyle w:val="27"/>
        <w:jc w:val="center"/>
        <w:rPr>
          <w:rFonts w:ascii="仿宋" w:hAnsi="仿宋" w:eastAsia="仿宋" w:cs="仿宋"/>
          <w:color w:val="auto"/>
        </w:rPr>
      </w:pPr>
    </w:p>
    <w:p w14:paraId="3A8F8597">
      <w:pPr>
        <w:pStyle w:val="27"/>
        <w:rPr>
          <w:rFonts w:ascii="仿宋" w:hAnsi="仿宋" w:eastAsia="仿宋" w:cs="仿宋"/>
          <w:color w:val="auto"/>
        </w:rPr>
      </w:pPr>
      <w:r>
        <w:rPr>
          <w:rFonts w:hint="eastAsia" w:ascii="仿宋" w:hAnsi="仿宋" w:eastAsia="仿宋" w:cs="仿宋"/>
          <w:color w:val="auto"/>
        </w:rPr>
        <w:t>注：</w:t>
      </w:r>
    </w:p>
    <w:p w14:paraId="4EA6D184">
      <w:pPr>
        <w:pStyle w:val="27"/>
        <w:rPr>
          <w:rFonts w:ascii="仿宋" w:hAnsi="仿宋" w:eastAsia="仿宋" w:cs="仿宋"/>
          <w:color w:val="auto"/>
        </w:rPr>
      </w:pPr>
      <w:r>
        <w:rPr>
          <w:rFonts w:hint="eastAsia" w:ascii="仿宋" w:hAnsi="仿宋" w:eastAsia="仿宋" w:cs="仿宋"/>
          <w:color w:val="auto"/>
        </w:rPr>
        <w:t>1.供应商为自然人时提供“自然人身份证明材料”。</w:t>
      </w:r>
    </w:p>
    <w:p w14:paraId="3A63548C">
      <w:pPr>
        <w:pStyle w:val="27"/>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CD5C20A">
      <w:pPr>
        <w:pStyle w:val="27"/>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189DCD0A">
      <w:pPr>
        <w:pStyle w:val="27"/>
        <w:jc w:val="both"/>
        <w:rPr>
          <w:rFonts w:ascii="仿宋" w:hAnsi="仿宋" w:eastAsia="仿宋" w:cs="仿宋"/>
          <w:color w:val="auto"/>
          <w:sz w:val="32"/>
          <w:szCs w:val="32"/>
        </w:rPr>
      </w:pPr>
    </w:p>
    <w:p w14:paraId="4F51345A">
      <w:pPr>
        <w:pStyle w:val="27"/>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6"/>
          <w:rFonts w:hint="eastAsia" w:ascii="仿宋" w:hAnsi="仿宋" w:eastAsia="仿宋" w:cs="仿宋"/>
          <w:b/>
          <w:bCs/>
          <w:color w:val="auto"/>
          <w:kern w:val="2"/>
          <w:sz w:val="32"/>
          <w:szCs w:val="28"/>
        </w:rPr>
        <w:t>法定代表人授权委托书</w:t>
      </w:r>
    </w:p>
    <w:p w14:paraId="24304F0C">
      <w:pPr>
        <w:pStyle w:val="27"/>
        <w:jc w:val="center"/>
        <w:rPr>
          <w:rFonts w:ascii="仿宋" w:hAnsi="仿宋" w:eastAsia="仿宋" w:cs="仿宋"/>
          <w:b/>
          <w:bCs/>
          <w:color w:val="auto"/>
        </w:rPr>
      </w:pPr>
    </w:p>
    <w:p w14:paraId="4E13D238">
      <w:pPr>
        <w:pStyle w:val="27"/>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268CFF57">
      <w:pPr>
        <w:pStyle w:val="27"/>
        <w:jc w:val="center"/>
        <w:rPr>
          <w:rFonts w:ascii="仿宋" w:hAnsi="仿宋" w:eastAsia="仿宋" w:cs="仿宋"/>
          <w:color w:val="auto"/>
        </w:rPr>
      </w:pPr>
    </w:p>
    <w:p w14:paraId="12388C27">
      <w:pPr>
        <w:pStyle w:val="10"/>
        <w:snapToGrid w:val="0"/>
        <w:spacing w:after="0" w:line="500" w:lineRule="exact"/>
        <w:ind w:firstLine="480" w:firstLineChars="200"/>
        <w:rPr>
          <w:rFonts w:ascii="仿宋" w:hAnsi="仿宋" w:eastAsia="仿宋" w:cs="仿宋"/>
          <w:sz w:val="24"/>
        </w:rPr>
      </w:pPr>
    </w:p>
    <w:p w14:paraId="1162A055">
      <w:pPr>
        <w:pStyle w:val="10"/>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项目的采购活动。委托代理人在采购活动和评审、磋商以及合同签订过程中所签署的一切文件和处理与之有关的一切事务，我及我公司均予以承认，并全部承担其产生的所有权利和义务。</w:t>
      </w:r>
    </w:p>
    <w:p w14:paraId="7D084A59">
      <w:pPr>
        <w:pStyle w:val="10"/>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5A7207CC">
      <w:pPr>
        <w:snapToGrid w:val="0"/>
        <w:spacing w:line="560" w:lineRule="exact"/>
        <w:ind w:firstLine="480" w:firstLineChars="200"/>
        <w:rPr>
          <w:rFonts w:ascii="仿宋" w:hAnsi="仿宋" w:eastAsia="仿宋" w:cs="仿宋"/>
          <w:sz w:val="24"/>
        </w:rPr>
      </w:pPr>
    </w:p>
    <w:p w14:paraId="6E436ED4">
      <w:pPr>
        <w:snapToGrid w:val="0"/>
        <w:spacing w:line="560" w:lineRule="exact"/>
        <w:ind w:firstLine="480" w:firstLineChars="200"/>
        <w:rPr>
          <w:rFonts w:ascii="仿宋" w:hAnsi="仿宋" w:eastAsia="仿宋" w:cs="仿宋"/>
          <w:sz w:val="24"/>
        </w:rPr>
      </w:pPr>
    </w:p>
    <w:p w14:paraId="576F41A4">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6DF3AB68">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50EC2046">
      <w:pPr>
        <w:snapToGrid w:val="0"/>
        <w:spacing w:line="560" w:lineRule="exact"/>
        <w:rPr>
          <w:rFonts w:ascii="仿宋" w:hAnsi="仿宋" w:eastAsia="仿宋" w:cs="仿宋"/>
          <w:sz w:val="24"/>
        </w:rPr>
      </w:pPr>
    </w:p>
    <w:p w14:paraId="5CD7FC15">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153D0684">
      <w:pPr>
        <w:snapToGrid w:val="0"/>
        <w:spacing w:line="560" w:lineRule="exact"/>
        <w:rPr>
          <w:rFonts w:ascii="仿宋" w:hAnsi="仿宋" w:eastAsia="仿宋" w:cs="仿宋"/>
          <w:sz w:val="24"/>
        </w:rPr>
      </w:pPr>
      <w:r>
        <w:rPr>
          <w:rFonts w:hint="eastAsia" w:ascii="仿宋" w:hAnsi="仿宋" w:eastAsia="仿宋" w:cs="仿宋"/>
          <w:sz w:val="24"/>
        </w:rPr>
        <w:t>时间：</w:t>
      </w:r>
    </w:p>
    <w:p w14:paraId="52C3F7FE">
      <w:pPr>
        <w:pStyle w:val="10"/>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3D247D02">
      <w:pPr>
        <w:pStyle w:val="3"/>
        <w:ind w:firstLine="0"/>
        <w:rPr>
          <w:rStyle w:val="44"/>
          <w:rFonts w:ascii="仿宋" w:hAnsi="仿宋" w:cs="仿宋"/>
          <w:b/>
          <w:szCs w:val="32"/>
        </w:rPr>
      </w:pPr>
      <w:r>
        <w:rPr>
          <w:rFonts w:hint="eastAsia" w:ascii="仿宋" w:hAnsi="仿宋" w:cs="仿宋"/>
          <w:szCs w:val="32"/>
        </w:rPr>
        <w:br w:type="page"/>
      </w:r>
      <w:bookmarkStart w:id="62" w:name="_Toc12967"/>
      <w:bookmarkStart w:id="63" w:name="_Toc16435"/>
      <w:bookmarkStart w:id="64" w:name="_Toc23967"/>
      <w:bookmarkStart w:id="65" w:name="_Toc26969"/>
      <w:bookmarkStart w:id="66" w:name="_Toc2041"/>
      <w:bookmarkStart w:id="67" w:name="_Toc1074"/>
      <w:r>
        <w:rPr>
          <w:rStyle w:val="44"/>
          <w:rFonts w:hint="eastAsia"/>
          <w:b/>
        </w:rPr>
        <w:t>采购需求偏离表</w:t>
      </w:r>
      <w:bookmarkEnd w:id="62"/>
      <w:bookmarkEnd w:id="63"/>
      <w:bookmarkEnd w:id="64"/>
      <w:bookmarkEnd w:id="65"/>
      <w:bookmarkEnd w:id="66"/>
      <w:bookmarkEnd w:id="67"/>
    </w:p>
    <w:p w14:paraId="4486095D">
      <w:pPr>
        <w:pStyle w:val="3"/>
        <w:numPr>
          <w:ilvl w:val="0"/>
          <w:numId w:val="0"/>
        </w:numPr>
        <w:ind w:firstLine="3534" w:firstLineChars="1100"/>
        <w:jc w:val="both"/>
        <w:rPr>
          <w:rFonts w:ascii="仿宋" w:hAnsi="仿宋" w:cs="仿宋"/>
          <w:szCs w:val="32"/>
        </w:rPr>
      </w:pPr>
      <w:r>
        <w:rPr>
          <w:rStyle w:val="44"/>
          <w:rFonts w:hint="eastAsia"/>
          <w:b/>
        </w:rPr>
        <w:t>1、技术或服务要求偏离表</w:t>
      </w:r>
    </w:p>
    <w:p w14:paraId="37BA59D9">
      <w:pPr>
        <w:pStyle w:val="10"/>
        <w:spacing w:line="300" w:lineRule="atLeast"/>
        <w:rPr>
          <w:rFonts w:ascii="仿宋" w:hAnsi="仿宋" w:eastAsia="仿宋" w:cs="仿宋"/>
          <w:kern w:val="0"/>
          <w:sz w:val="24"/>
          <w:lang w:val="zh-TW" w:eastAsia="zh-TW"/>
        </w:rPr>
      </w:pPr>
    </w:p>
    <w:tbl>
      <w:tblPr>
        <w:tblStyle w:val="22"/>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96C47B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BBCE79">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6D7DDC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1377F">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D21792">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1179DB">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C43DD0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7CF57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575591E">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E605AD">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A0F822B">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B65A293">
            <w:pPr>
              <w:rPr>
                <w:rFonts w:ascii="仿宋" w:hAnsi="仿宋" w:eastAsia="仿宋" w:cs="仿宋"/>
                <w:sz w:val="24"/>
              </w:rPr>
            </w:pPr>
          </w:p>
        </w:tc>
      </w:tr>
      <w:tr w14:paraId="519D5D7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6BAE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E566A99">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B82E63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A04C4A5">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9ECD9A0">
            <w:pPr>
              <w:rPr>
                <w:rFonts w:ascii="仿宋" w:hAnsi="仿宋" w:eastAsia="仿宋" w:cs="仿宋"/>
                <w:sz w:val="24"/>
              </w:rPr>
            </w:pPr>
          </w:p>
        </w:tc>
      </w:tr>
      <w:tr w14:paraId="3C4B56A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F936E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5E9C1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5E6FFC3">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B78A793">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41AED82">
            <w:pPr>
              <w:rPr>
                <w:rFonts w:ascii="仿宋" w:hAnsi="仿宋" w:eastAsia="仿宋" w:cs="仿宋"/>
                <w:sz w:val="24"/>
              </w:rPr>
            </w:pPr>
          </w:p>
        </w:tc>
      </w:tr>
    </w:tbl>
    <w:p w14:paraId="651BF143">
      <w:pPr>
        <w:spacing w:line="360" w:lineRule="auto"/>
        <w:jc w:val="left"/>
        <w:rPr>
          <w:rFonts w:ascii="仿宋" w:hAnsi="仿宋" w:eastAsia="仿宋" w:cs="仿宋"/>
          <w:bCs/>
          <w:sz w:val="24"/>
        </w:rPr>
      </w:pPr>
    </w:p>
    <w:p w14:paraId="2ACBCE7A">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1.供应商必须按采购需求的内容据实填写，不得虚假响应，否则将取消其磋商或成交资格并按规定追究其相关责任。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B40BDA9">
      <w:pPr>
        <w:pStyle w:val="20"/>
        <w:ind w:firstLine="0"/>
        <w:rPr>
          <w:rFonts w:ascii="仿宋" w:hAnsi="仿宋" w:eastAsia="仿宋" w:cs="仿宋"/>
          <w:lang w:val="zh-TW" w:eastAsia="zh-TW"/>
        </w:rPr>
      </w:pPr>
    </w:p>
    <w:p w14:paraId="72E9B9D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D833784">
      <w:pPr>
        <w:snapToGrid w:val="0"/>
        <w:spacing w:line="560" w:lineRule="exact"/>
        <w:rPr>
          <w:rFonts w:ascii="仿宋" w:hAnsi="仿宋" w:eastAsia="仿宋" w:cs="仿宋"/>
          <w:sz w:val="24"/>
        </w:rPr>
      </w:pPr>
      <w:r>
        <w:rPr>
          <w:rFonts w:hint="eastAsia" w:ascii="仿宋" w:hAnsi="仿宋" w:eastAsia="仿宋" w:cs="仿宋"/>
          <w:sz w:val="24"/>
        </w:rPr>
        <w:t>时间：</w:t>
      </w:r>
    </w:p>
    <w:p w14:paraId="497943B8">
      <w:pPr>
        <w:pStyle w:val="27"/>
        <w:jc w:val="center"/>
        <w:rPr>
          <w:rFonts w:ascii="仿宋" w:hAnsi="仿宋" w:eastAsia="仿宋" w:cs="仿宋"/>
          <w:color w:val="auto"/>
          <w:sz w:val="32"/>
          <w:szCs w:val="32"/>
        </w:rPr>
      </w:pPr>
    </w:p>
    <w:p w14:paraId="78FA94AA">
      <w:pPr>
        <w:pStyle w:val="3"/>
        <w:numPr>
          <w:ilvl w:val="0"/>
          <w:numId w:val="0"/>
        </w:numPr>
        <w:ind w:firstLine="3534" w:firstLineChars="1100"/>
        <w:jc w:val="both"/>
        <w:rPr>
          <w:rStyle w:val="44"/>
          <w:b/>
        </w:rPr>
      </w:pPr>
    </w:p>
    <w:p w14:paraId="538B348C">
      <w:pPr>
        <w:pStyle w:val="3"/>
        <w:numPr>
          <w:ilvl w:val="0"/>
          <w:numId w:val="0"/>
        </w:numPr>
        <w:ind w:firstLine="3534" w:firstLineChars="1100"/>
        <w:jc w:val="both"/>
        <w:rPr>
          <w:rStyle w:val="44"/>
          <w:b/>
        </w:rPr>
      </w:pPr>
    </w:p>
    <w:p w14:paraId="1D350067">
      <w:pPr>
        <w:pStyle w:val="3"/>
        <w:numPr>
          <w:ilvl w:val="0"/>
          <w:numId w:val="0"/>
        </w:numPr>
        <w:ind w:firstLine="3534" w:firstLineChars="1100"/>
        <w:jc w:val="both"/>
        <w:rPr>
          <w:rStyle w:val="44"/>
          <w:b/>
        </w:rPr>
      </w:pPr>
    </w:p>
    <w:p w14:paraId="3DA804A1">
      <w:pPr>
        <w:pStyle w:val="3"/>
        <w:numPr>
          <w:ilvl w:val="0"/>
          <w:numId w:val="0"/>
        </w:numPr>
        <w:ind w:firstLine="3534" w:firstLineChars="1100"/>
        <w:jc w:val="both"/>
        <w:rPr>
          <w:rStyle w:val="44"/>
          <w:b/>
        </w:rPr>
      </w:pPr>
    </w:p>
    <w:p w14:paraId="0131036C">
      <w:pPr>
        <w:pStyle w:val="3"/>
        <w:numPr>
          <w:ilvl w:val="0"/>
          <w:numId w:val="0"/>
        </w:numPr>
        <w:ind w:firstLine="3534" w:firstLineChars="1100"/>
        <w:jc w:val="both"/>
        <w:rPr>
          <w:rStyle w:val="44"/>
          <w:b/>
        </w:rPr>
      </w:pPr>
    </w:p>
    <w:p w14:paraId="0F3815F8">
      <w:pPr>
        <w:pStyle w:val="3"/>
        <w:numPr>
          <w:ilvl w:val="0"/>
          <w:numId w:val="0"/>
        </w:numPr>
        <w:ind w:firstLine="3534" w:firstLineChars="1100"/>
        <w:jc w:val="both"/>
        <w:rPr>
          <w:rStyle w:val="44"/>
          <w:b/>
        </w:rPr>
      </w:pPr>
    </w:p>
    <w:p w14:paraId="0AC23294">
      <w:pPr>
        <w:pStyle w:val="3"/>
        <w:numPr>
          <w:ilvl w:val="0"/>
          <w:numId w:val="0"/>
        </w:numPr>
        <w:ind w:firstLine="3534" w:firstLineChars="1100"/>
        <w:jc w:val="both"/>
        <w:rPr>
          <w:rStyle w:val="44"/>
          <w:b/>
        </w:rPr>
      </w:pPr>
    </w:p>
    <w:p w14:paraId="317D2E89">
      <w:pPr>
        <w:pStyle w:val="3"/>
        <w:numPr>
          <w:ilvl w:val="0"/>
          <w:numId w:val="0"/>
        </w:numPr>
        <w:ind w:firstLine="3534" w:firstLineChars="1100"/>
        <w:jc w:val="both"/>
        <w:rPr>
          <w:rStyle w:val="44"/>
          <w:b/>
        </w:rPr>
      </w:pPr>
    </w:p>
    <w:p w14:paraId="41DF1E15">
      <w:pPr>
        <w:pStyle w:val="3"/>
        <w:numPr>
          <w:ilvl w:val="0"/>
          <w:numId w:val="0"/>
        </w:numPr>
        <w:ind w:firstLine="3534" w:firstLineChars="1100"/>
        <w:jc w:val="both"/>
        <w:rPr>
          <w:rFonts w:ascii="仿宋" w:hAnsi="仿宋" w:cs="仿宋"/>
          <w:szCs w:val="32"/>
        </w:rPr>
      </w:pPr>
      <w:r>
        <w:rPr>
          <w:rStyle w:val="44"/>
          <w:rFonts w:hint="eastAsia"/>
          <w:b/>
        </w:rPr>
        <w:t>2、商务要求偏离表</w:t>
      </w:r>
    </w:p>
    <w:p w14:paraId="0C56E64E">
      <w:pPr>
        <w:pStyle w:val="10"/>
        <w:spacing w:line="300" w:lineRule="atLeast"/>
        <w:rPr>
          <w:rFonts w:ascii="仿宋" w:hAnsi="仿宋" w:eastAsia="仿宋" w:cs="仿宋"/>
          <w:kern w:val="0"/>
          <w:sz w:val="24"/>
          <w:lang w:val="zh-TW" w:eastAsia="zh-TW"/>
        </w:rPr>
      </w:pPr>
    </w:p>
    <w:tbl>
      <w:tblPr>
        <w:tblStyle w:val="22"/>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2204C35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EBA9BEE">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B082150">
            <w:pPr>
              <w:widowControl/>
              <w:jc w:val="center"/>
              <w:rPr>
                <w:rFonts w:ascii="仿宋" w:hAnsi="仿宋" w:eastAsia="仿宋" w:cs="仿宋"/>
                <w:b/>
                <w:sz w:val="24"/>
              </w:rPr>
            </w:pPr>
            <w:r>
              <w:rPr>
                <w:rFonts w:hint="eastAsia" w:ascii="仿宋" w:hAnsi="仿宋" w:eastAsia="仿宋" w:cs="仿宋"/>
                <w:b/>
                <w:kern w:val="0"/>
                <w:sz w:val="24"/>
                <w:lang w:val="zh-TW"/>
              </w:rPr>
              <w:t>磋商文件商务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4BC27D">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9FBE69">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0DD6C4B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8F004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B1B686A">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CA39D8">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D7AAAD8">
            <w:pPr>
              <w:jc w:val="center"/>
              <w:rPr>
                <w:rFonts w:ascii="仿宋" w:hAnsi="仿宋" w:eastAsia="仿宋" w:cs="仿宋"/>
                <w:sz w:val="24"/>
              </w:rPr>
            </w:pPr>
          </w:p>
        </w:tc>
      </w:tr>
      <w:tr w14:paraId="35A099C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254F1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BB77D7B">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07E07B1">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4B64635">
            <w:pPr>
              <w:jc w:val="center"/>
              <w:rPr>
                <w:rFonts w:ascii="仿宋" w:hAnsi="仿宋" w:eastAsia="仿宋" w:cs="仿宋"/>
                <w:sz w:val="24"/>
              </w:rPr>
            </w:pPr>
          </w:p>
        </w:tc>
      </w:tr>
      <w:tr w14:paraId="756578A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CBFDE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B1C16A">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5124A5B">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0C0E4A4">
            <w:pPr>
              <w:jc w:val="center"/>
              <w:rPr>
                <w:rFonts w:ascii="仿宋" w:hAnsi="仿宋" w:eastAsia="仿宋" w:cs="仿宋"/>
                <w:sz w:val="24"/>
              </w:rPr>
            </w:pPr>
          </w:p>
        </w:tc>
      </w:tr>
    </w:tbl>
    <w:p w14:paraId="50A2D0DF">
      <w:pPr>
        <w:spacing w:line="360" w:lineRule="auto"/>
        <w:jc w:val="left"/>
        <w:rPr>
          <w:rFonts w:ascii="仿宋" w:hAnsi="仿宋" w:eastAsia="仿宋" w:cs="仿宋"/>
          <w:bCs/>
          <w:sz w:val="24"/>
        </w:rPr>
      </w:pPr>
    </w:p>
    <w:p w14:paraId="22AD4C7D">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1.供应商必须按商务要求的内容据实填写，不得虚假响应，否则将取消其磋商或成交资格并按规定追究其相关责任。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239FEEAA">
      <w:pPr>
        <w:pStyle w:val="20"/>
        <w:ind w:firstLine="0"/>
        <w:rPr>
          <w:rFonts w:ascii="仿宋" w:hAnsi="仿宋" w:eastAsia="仿宋" w:cs="仿宋"/>
          <w:lang w:val="zh-TW" w:eastAsia="zh-TW"/>
        </w:rPr>
      </w:pPr>
    </w:p>
    <w:p w14:paraId="5AD3D8E6">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5E5CD01A">
      <w:pPr>
        <w:snapToGrid w:val="0"/>
        <w:spacing w:line="560" w:lineRule="exact"/>
        <w:rPr>
          <w:rFonts w:ascii="仿宋" w:hAnsi="仿宋" w:eastAsia="仿宋" w:cs="仿宋"/>
          <w:sz w:val="24"/>
        </w:rPr>
      </w:pPr>
      <w:r>
        <w:rPr>
          <w:rFonts w:hint="eastAsia" w:ascii="仿宋" w:hAnsi="仿宋" w:eastAsia="仿宋" w:cs="仿宋"/>
          <w:sz w:val="24"/>
        </w:rPr>
        <w:t>时间：</w:t>
      </w:r>
    </w:p>
    <w:p w14:paraId="19EC5E18">
      <w:pPr>
        <w:pStyle w:val="27"/>
        <w:jc w:val="center"/>
        <w:rPr>
          <w:rFonts w:ascii="仿宋" w:hAnsi="仿宋" w:eastAsia="仿宋" w:cs="仿宋"/>
          <w:color w:val="auto"/>
          <w:sz w:val="32"/>
          <w:szCs w:val="32"/>
        </w:rPr>
      </w:pPr>
    </w:p>
    <w:p w14:paraId="4A2C47A1">
      <w:pPr>
        <w:pStyle w:val="27"/>
        <w:jc w:val="center"/>
        <w:rPr>
          <w:rFonts w:ascii="仿宋" w:hAnsi="仿宋" w:eastAsia="仿宋" w:cs="仿宋"/>
          <w:color w:val="auto"/>
          <w:sz w:val="32"/>
          <w:szCs w:val="32"/>
        </w:rPr>
      </w:pPr>
      <w:r>
        <w:rPr>
          <w:rFonts w:hint="eastAsia" w:ascii="仿宋" w:hAnsi="仿宋" w:cs="仿宋"/>
          <w:szCs w:val="32"/>
        </w:rPr>
        <w:br w:type="page"/>
      </w:r>
    </w:p>
    <w:p w14:paraId="655B6C37">
      <w:pPr>
        <w:pStyle w:val="3"/>
        <w:numPr>
          <w:ilvl w:val="0"/>
          <w:numId w:val="0"/>
        </w:numPr>
        <w:jc w:val="both"/>
        <w:rPr>
          <w:rFonts w:ascii="仿宋" w:hAnsi="仿宋" w:cs="仿宋"/>
          <w:bCs/>
          <w:szCs w:val="32"/>
        </w:rPr>
      </w:pPr>
      <w:bookmarkStart w:id="68" w:name="_Toc24806"/>
      <w:bookmarkStart w:id="69" w:name="_Toc21082"/>
      <w:bookmarkStart w:id="70" w:name="_Toc26839"/>
      <w:bookmarkStart w:id="71" w:name="_Toc31686"/>
      <w:bookmarkStart w:id="72" w:name="_Toc28634"/>
      <w:bookmarkStart w:id="73" w:name="_Toc1369"/>
      <w:r>
        <w:rPr>
          <w:rFonts w:hint="eastAsia" w:ascii="仿宋" w:hAnsi="仿宋" w:cs="仿宋"/>
          <w:szCs w:val="32"/>
        </w:rPr>
        <w:t>七、</w:t>
      </w:r>
      <w:r>
        <w:rPr>
          <w:rStyle w:val="44"/>
          <w:rFonts w:hint="eastAsia"/>
          <w:b/>
        </w:rPr>
        <w:t>评分需要提供的证明材料</w:t>
      </w:r>
      <w:bookmarkEnd w:id="68"/>
      <w:bookmarkEnd w:id="69"/>
      <w:bookmarkEnd w:id="70"/>
      <w:bookmarkEnd w:id="71"/>
      <w:bookmarkEnd w:id="72"/>
      <w:bookmarkEnd w:id="73"/>
    </w:p>
    <w:p w14:paraId="3A6C57E4">
      <w:pPr>
        <w:pStyle w:val="27"/>
        <w:ind w:firstLine="480" w:firstLineChars="200"/>
        <w:jc w:val="both"/>
        <w:rPr>
          <w:rFonts w:ascii="仿宋" w:hAnsi="仿宋" w:eastAsia="仿宋" w:cs="仿宋"/>
          <w:color w:val="auto"/>
        </w:rPr>
      </w:pPr>
      <w:r>
        <w:rPr>
          <w:rFonts w:hint="eastAsia" w:ascii="仿宋" w:hAnsi="仿宋" w:eastAsia="仿宋" w:cs="仿宋"/>
          <w:color w:val="auto"/>
        </w:rPr>
        <w:t>供应商应根据评分标准中评审因素的顺序依次提供证明材料，内容和格式自拟。</w:t>
      </w:r>
    </w:p>
    <w:p w14:paraId="0C031DF1">
      <w:pPr>
        <w:pStyle w:val="27"/>
        <w:jc w:val="center"/>
        <w:rPr>
          <w:rFonts w:ascii="仿宋" w:hAnsi="仿宋" w:eastAsia="仿宋" w:cs="仿宋"/>
          <w:b/>
          <w:bCs/>
          <w:color w:val="auto"/>
        </w:rPr>
      </w:pPr>
    </w:p>
    <w:p w14:paraId="7D97F3A2">
      <w:pPr>
        <w:rPr>
          <w:rFonts w:ascii="仿宋" w:hAnsi="仿宋" w:eastAsia="仿宋" w:cs="仿宋"/>
          <w:sz w:val="24"/>
          <w:szCs w:val="24"/>
        </w:rPr>
      </w:pPr>
      <w:r>
        <w:rPr>
          <w:rFonts w:hint="eastAsia" w:ascii="仿宋" w:hAnsi="仿宋" w:eastAsia="仿宋" w:cs="仿宋"/>
          <w:sz w:val="24"/>
          <w:szCs w:val="24"/>
        </w:rPr>
        <w:t>（一）暂用评审因素一代替：</w:t>
      </w:r>
    </w:p>
    <w:p w14:paraId="1CF94F0E">
      <w:pPr>
        <w:rPr>
          <w:rFonts w:ascii="仿宋" w:hAnsi="仿宋" w:eastAsia="仿宋" w:cs="仿宋"/>
          <w:sz w:val="24"/>
          <w:szCs w:val="24"/>
        </w:rPr>
      </w:pPr>
      <w:r>
        <w:rPr>
          <w:rFonts w:hint="eastAsia" w:ascii="仿宋" w:hAnsi="仿宋" w:eastAsia="仿宋" w:cs="仿宋"/>
          <w:sz w:val="24"/>
          <w:szCs w:val="24"/>
        </w:rPr>
        <w:t>(......)</w:t>
      </w:r>
    </w:p>
    <w:p w14:paraId="1411875A">
      <w:pPr>
        <w:rPr>
          <w:rFonts w:ascii="仿宋" w:hAnsi="仿宋" w:eastAsia="仿宋" w:cs="仿宋"/>
          <w:sz w:val="24"/>
          <w:szCs w:val="24"/>
        </w:rPr>
      </w:pPr>
    </w:p>
    <w:p w14:paraId="727CEB77">
      <w:pPr>
        <w:rPr>
          <w:rFonts w:ascii="仿宋" w:hAnsi="仿宋" w:eastAsia="仿宋" w:cs="仿宋"/>
          <w:sz w:val="24"/>
          <w:szCs w:val="24"/>
        </w:rPr>
      </w:pPr>
      <w:r>
        <w:rPr>
          <w:rFonts w:hint="eastAsia" w:ascii="仿宋" w:hAnsi="仿宋" w:eastAsia="仿宋" w:cs="仿宋"/>
          <w:sz w:val="24"/>
          <w:szCs w:val="24"/>
        </w:rPr>
        <w:t>（二）暂用评审因素二代替：</w:t>
      </w:r>
    </w:p>
    <w:p w14:paraId="674CA65B">
      <w:pPr>
        <w:rPr>
          <w:rFonts w:ascii="仿宋" w:hAnsi="仿宋" w:eastAsia="仿宋" w:cs="仿宋"/>
          <w:sz w:val="24"/>
          <w:szCs w:val="24"/>
        </w:rPr>
      </w:pPr>
      <w:r>
        <w:rPr>
          <w:rFonts w:hint="eastAsia" w:ascii="仿宋" w:hAnsi="仿宋" w:eastAsia="仿宋" w:cs="仿宋"/>
          <w:sz w:val="24"/>
          <w:szCs w:val="24"/>
        </w:rPr>
        <w:t>(......)</w:t>
      </w:r>
    </w:p>
    <w:p w14:paraId="1C9F0449">
      <w:pPr>
        <w:rPr>
          <w:rFonts w:ascii="仿宋" w:hAnsi="仿宋" w:eastAsia="仿宋" w:cs="仿宋"/>
          <w:sz w:val="24"/>
          <w:szCs w:val="24"/>
        </w:rPr>
      </w:pPr>
    </w:p>
    <w:p w14:paraId="5008AA22">
      <w:pPr>
        <w:rPr>
          <w:rFonts w:ascii="仿宋" w:hAnsi="仿宋" w:eastAsia="仿宋" w:cs="仿宋"/>
          <w:sz w:val="24"/>
          <w:szCs w:val="24"/>
        </w:rPr>
      </w:pPr>
      <w:r>
        <w:rPr>
          <w:rFonts w:hint="eastAsia" w:ascii="仿宋" w:hAnsi="仿宋" w:eastAsia="仿宋" w:cs="仿宋"/>
          <w:sz w:val="24"/>
          <w:szCs w:val="24"/>
        </w:rPr>
        <w:t>（三）暂用评审因素三代替：</w:t>
      </w:r>
    </w:p>
    <w:p w14:paraId="5702433C">
      <w:pPr>
        <w:rPr>
          <w:rFonts w:ascii="仿宋" w:hAnsi="仿宋" w:eastAsia="仿宋" w:cs="仿宋"/>
          <w:sz w:val="24"/>
          <w:szCs w:val="24"/>
        </w:rPr>
      </w:pPr>
      <w:r>
        <w:rPr>
          <w:rFonts w:hint="eastAsia" w:ascii="仿宋" w:hAnsi="仿宋" w:eastAsia="仿宋" w:cs="仿宋"/>
          <w:sz w:val="24"/>
          <w:szCs w:val="24"/>
        </w:rPr>
        <w:t>(......)</w:t>
      </w:r>
    </w:p>
    <w:p w14:paraId="694235C2">
      <w:pPr>
        <w:spacing w:line="700" w:lineRule="exact"/>
        <w:jc w:val="center"/>
        <w:rPr>
          <w:rStyle w:val="36"/>
          <w:rFonts w:ascii="仿宋" w:hAnsi="仿宋" w:eastAsia="仿宋" w:cs="仿宋"/>
          <w:sz w:val="32"/>
          <w:szCs w:val="28"/>
        </w:rPr>
      </w:pPr>
      <w:r>
        <w:rPr>
          <w:rFonts w:hint="eastAsia" w:ascii="仿宋" w:hAnsi="仿宋" w:eastAsia="仿宋" w:cs="仿宋"/>
          <w:b/>
          <w:bCs/>
          <w:sz w:val="32"/>
          <w:szCs w:val="32"/>
        </w:rPr>
        <w:br w:type="page"/>
      </w:r>
      <w:bookmarkStart w:id="74" w:name="_Toc3871"/>
      <w:bookmarkStart w:id="75" w:name="_Toc32605"/>
      <w:bookmarkStart w:id="76" w:name="_Toc24494"/>
    </w:p>
    <w:p w14:paraId="26149625">
      <w:pPr>
        <w:pStyle w:val="3"/>
        <w:numPr>
          <w:ilvl w:val="1"/>
          <w:numId w:val="9"/>
        </w:numPr>
        <w:jc w:val="both"/>
      </w:pPr>
      <w:bookmarkStart w:id="77" w:name="_Toc14685"/>
      <w:bookmarkStart w:id="78" w:name="_Toc30002"/>
      <w:bookmarkStart w:id="79" w:name="_Toc29032"/>
      <w:r>
        <w:rPr>
          <w:rFonts w:hint="eastAsia"/>
        </w:rPr>
        <w:t>报价单</w:t>
      </w:r>
    </w:p>
    <w:p w14:paraId="37B9C057">
      <w:pPr>
        <w:ind w:firstLine="660"/>
        <w:rPr>
          <w:rFonts w:ascii="仿宋" w:hAnsi="仿宋" w:eastAsia="仿宋" w:cs="仿宋"/>
          <w:sz w:val="24"/>
          <w:szCs w:val="24"/>
          <w:lang w:val="zh-TW" w:eastAsia="zh-TW"/>
        </w:rPr>
      </w:pPr>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49E46B10">
      <w:pPr>
        <w:pStyle w:val="10"/>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1ABD95E5">
      <w:pPr>
        <w:pStyle w:val="10"/>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508534DE">
      <w:pPr>
        <w:pStyle w:val="10"/>
        <w:rPr>
          <w:rFonts w:ascii="仿宋" w:hAnsi="仿宋" w:eastAsia="仿宋" w:cs="仿宋"/>
          <w:b/>
          <w:bCs/>
        </w:rPr>
      </w:pPr>
      <w:r>
        <w:rPr>
          <w:rFonts w:hint="eastAsia" w:ascii="仿宋" w:hAnsi="仿宋" w:eastAsia="仿宋" w:cs="仿宋"/>
          <w:b/>
          <w:bCs/>
        </w:rPr>
        <w:t>2.报价一览表</w:t>
      </w:r>
      <w:bookmarkStart w:id="82" w:name="_GoBack"/>
      <w:bookmarkEnd w:id="82"/>
    </w:p>
    <w:tbl>
      <w:tblPr>
        <w:tblStyle w:val="23"/>
        <w:tblW w:w="0" w:type="auto"/>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3747"/>
        <w:gridCol w:w="3817"/>
      </w:tblGrid>
      <w:tr w14:paraId="31756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744" w:type="dxa"/>
            <w:vAlign w:val="center"/>
          </w:tcPr>
          <w:p w14:paraId="291164C4">
            <w:pPr>
              <w:pStyle w:val="10"/>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3747" w:type="dxa"/>
            <w:vAlign w:val="center"/>
          </w:tcPr>
          <w:p w14:paraId="214B8B4C">
            <w:pPr>
              <w:pStyle w:val="10"/>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3817" w:type="dxa"/>
            <w:vAlign w:val="center"/>
          </w:tcPr>
          <w:p w14:paraId="147ED34E">
            <w:pPr>
              <w:pStyle w:val="10"/>
              <w:jc w:val="center"/>
              <w:rPr>
                <w:rFonts w:ascii="仿宋" w:hAnsi="仿宋" w:eastAsia="仿宋" w:cs="仿宋"/>
                <w:sz w:val="24"/>
                <w:szCs w:val="24"/>
              </w:rPr>
            </w:pPr>
            <w:r>
              <w:rPr>
                <w:rFonts w:hint="eastAsia" w:ascii="仿宋" w:hAnsi="仿宋" w:eastAsia="仿宋" w:cs="仿宋"/>
                <w:sz w:val="24"/>
                <w:szCs w:val="24"/>
              </w:rPr>
              <w:t>报价</w:t>
            </w:r>
            <w:r>
              <w:rPr>
                <w:rFonts w:hint="eastAsia" w:ascii="仿宋" w:hAnsi="仿宋" w:eastAsia="仿宋" w:cs="仿宋"/>
                <w:kern w:val="0"/>
                <w:sz w:val="24"/>
                <w:szCs w:val="24"/>
                <w:lang w:val="zh-TW"/>
              </w:rPr>
              <w:t>（元）</w:t>
            </w:r>
          </w:p>
        </w:tc>
      </w:tr>
      <w:tr w14:paraId="37EC9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744" w:type="dxa"/>
            <w:vAlign w:val="center"/>
          </w:tcPr>
          <w:p w14:paraId="1F8184AB">
            <w:pPr>
              <w:pStyle w:val="10"/>
              <w:jc w:val="center"/>
              <w:rPr>
                <w:rFonts w:ascii="仿宋" w:hAnsi="仿宋" w:eastAsia="仿宋" w:cs="仿宋"/>
                <w:sz w:val="24"/>
                <w:szCs w:val="24"/>
              </w:rPr>
            </w:pPr>
            <w:r>
              <w:rPr>
                <w:rFonts w:hint="eastAsia" w:ascii="仿宋" w:hAnsi="仿宋" w:eastAsia="仿宋" w:cs="仿宋"/>
                <w:sz w:val="24"/>
                <w:szCs w:val="24"/>
              </w:rPr>
              <w:t>1</w:t>
            </w:r>
          </w:p>
        </w:tc>
        <w:tc>
          <w:tcPr>
            <w:tcW w:w="3747" w:type="dxa"/>
            <w:vAlign w:val="center"/>
          </w:tcPr>
          <w:p w14:paraId="641110A3">
            <w:pPr>
              <w:pStyle w:val="10"/>
              <w:jc w:val="center"/>
              <w:rPr>
                <w:rFonts w:ascii="仿宋" w:hAnsi="仿宋" w:eastAsia="仿宋" w:cs="仿宋"/>
                <w:sz w:val="24"/>
                <w:szCs w:val="24"/>
              </w:rPr>
            </w:pPr>
          </w:p>
        </w:tc>
        <w:tc>
          <w:tcPr>
            <w:tcW w:w="3817" w:type="dxa"/>
            <w:vAlign w:val="center"/>
          </w:tcPr>
          <w:p w14:paraId="74AF3117">
            <w:pPr>
              <w:pStyle w:val="10"/>
              <w:jc w:val="center"/>
              <w:rPr>
                <w:rFonts w:ascii="仿宋" w:hAnsi="仿宋" w:eastAsia="仿宋" w:cs="仿宋"/>
                <w:sz w:val="24"/>
                <w:szCs w:val="24"/>
              </w:rPr>
            </w:pPr>
          </w:p>
        </w:tc>
      </w:tr>
      <w:tr w14:paraId="458A7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744" w:type="dxa"/>
            <w:vAlign w:val="center"/>
          </w:tcPr>
          <w:p w14:paraId="3FB31A2E">
            <w:pPr>
              <w:pStyle w:val="10"/>
              <w:jc w:val="center"/>
              <w:rPr>
                <w:rFonts w:ascii="仿宋" w:hAnsi="仿宋" w:eastAsia="仿宋" w:cs="仿宋"/>
                <w:sz w:val="24"/>
                <w:szCs w:val="24"/>
              </w:rPr>
            </w:pPr>
            <w:r>
              <w:rPr>
                <w:rFonts w:hint="eastAsia" w:ascii="仿宋" w:hAnsi="仿宋" w:eastAsia="仿宋" w:cs="仿宋"/>
                <w:sz w:val="24"/>
                <w:szCs w:val="24"/>
              </w:rPr>
              <w:t>报价合计</w:t>
            </w:r>
          </w:p>
        </w:tc>
        <w:tc>
          <w:tcPr>
            <w:tcW w:w="7564" w:type="dxa"/>
            <w:gridSpan w:val="2"/>
            <w:vAlign w:val="center"/>
          </w:tcPr>
          <w:p w14:paraId="4809609F">
            <w:pPr>
              <w:pStyle w:val="10"/>
              <w:jc w:val="left"/>
              <w:rPr>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3EE3F764">
      <w:pPr>
        <w:widowControl/>
        <w:jc w:val="left"/>
        <w:rPr>
          <w:rFonts w:ascii="仿宋" w:hAnsi="仿宋" w:eastAsia="仿宋" w:cs="仿宋"/>
          <w:sz w:val="24"/>
          <w:szCs w:val="24"/>
          <w:lang w:val="zh-TW"/>
        </w:rPr>
      </w:pPr>
    </w:p>
    <w:p w14:paraId="03295931">
      <w:pPr>
        <w:widowControl/>
        <w:jc w:val="left"/>
        <w:rPr>
          <w:rFonts w:ascii="仿宋" w:hAnsi="仿宋" w:eastAsia="仿宋" w:cs="仿宋"/>
          <w:sz w:val="24"/>
          <w:szCs w:val="24"/>
          <w:lang w:val="zh-TW"/>
        </w:rPr>
      </w:pPr>
    </w:p>
    <w:p w14:paraId="2DAB0691">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444D9DFD">
      <w:pPr>
        <w:pStyle w:val="10"/>
        <w:rPr>
          <w:rFonts w:ascii="仿宋" w:hAnsi="仿宋" w:eastAsia="仿宋" w:cs="仿宋"/>
          <w:lang w:val="zh-TW" w:eastAsia="zh-TW"/>
        </w:rPr>
      </w:pPr>
    </w:p>
    <w:p w14:paraId="16596863">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24B44DC2">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759E336C">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44700B1D">
      <w:pPr>
        <w:rPr>
          <w:rFonts w:ascii="仿宋" w:hAnsi="仿宋" w:eastAsia="仿宋" w:cs="仿宋"/>
          <w:sz w:val="24"/>
          <w:szCs w:val="24"/>
          <w:u w:val="single"/>
        </w:rPr>
      </w:pPr>
      <w:r>
        <w:rPr>
          <w:rFonts w:hint="eastAsia" w:ascii="仿宋" w:hAnsi="仿宋" w:eastAsia="仿宋" w:cs="仿宋"/>
          <w:sz w:val="24"/>
          <w:szCs w:val="24"/>
          <w:u w:val="single"/>
        </w:rPr>
        <w:br w:type="page"/>
      </w:r>
    </w:p>
    <w:p w14:paraId="7C5B2EF7">
      <w:pPr>
        <w:pStyle w:val="3"/>
        <w:numPr>
          <w:ilvl w:val="1"/>
          <w:numId w:val="9"/>
        </w:numPr>
        <w:jc w:val="both"/>
      </w:pPr>
      <w:r>
        <w:rPr>
          <w:rFonts w:hint="eastAsia"/>
        </w:rPr>
        <w:t>供应商认为需要提供的其他材料</w:t>
      </w:r>
      <w:bookmarkEnd w:id="74"/>
      <w:bookmarkEnd w:id="75"/>
      <w:bookmarkEnd w:id="76"/>
      <w:bookmarkEnd w:id="77"/>
      <w:bookmarkEnd w:id="78"/>
      <w:bookmarkEnd w:id="79"/>
    </w:p>
    <w:p w14:paraId="38D39139">
      <w:pPr>
        <w:pStyle w:val="10"/>
        <w:jc w:val="center"/>
        <w:rPr>
          <w:rFonts w:ascii="仿宋" w:hAnsi="仿宋" w:eastAsia="仿宋" w:cs="仿宋"/>
        </w:rPr>
      </w:pPr>
    </w:p>
    <w:p w14:paraId="08F9FA97">
      <w:pPr>
        <w:pStyle w:val="10"/>
        <w:jc w:val="center"/>
        <w:rPr>
          <w:rFonts w:ascii="仿宋" w:hAnsi="仿宋" w:eastAsia="仿宋" w:cs="仿宋"/>
        </w:rPr>
      </w:pPr>
    </w:p>
    <w:p w14:paraId="1CCF6A58">
      <w:pPr>
        <w:pStyle w:val="10"/>
        <w:jc w:val="center"/>
        <w:rPr>
          <w:rFonts w:ascii="仿宋" w:hAnsi="仿宋" w:eastAsia="仿宋" w:cs="仿宋"/>
        </w:rPr>
      </w:pPr>
    </w:p>
    <w:p w14:paraId="1D2C0268">
      <w:pPr>
        <w:pStyle w:val="10"/>
        <w:jc w:val="center"/>
        <w:rPr>
          <w:rFonts w:ascii="仿宋" w:hAnsi="仿宋" w:eastAsia="仿宋" w:cs="仿宋"/>
          <w:b/>
          <w:bCs/>
          <w:sz w:val="32"/>
          <w:szCs w:val="36"/>
        </w:rPr>
      </w:pPr>
      <w:r>
        <w:rPr>
          <w:rFonts w:hint="eastAsia" w:ascii="仿宋" w:hAnsi="仿宋" w:eastAsia="仿宋" w:cs="仿宋"/>
          <w:b/>
          <w:bCs/>
          <w:sz w:val="32"/>
          <w:szCs w:val="36"/>
        </w:rPr>
        <w:t>格式自拟</w:t>
      </w:r>
    </w:p>
    <w:p w14:paraId="1E4B212B">
      <w:pPr>
        <w:jc w:val="left"/>
        <w:rPr>
          <w:rFonts w:ascii="仿宋" w:hAnsi="仿宋" w:eastAsia="仿宋" w:cs="仿宋"/>
          <w:sz w:val="24"/>
          <w:szCs w:val="24"/>
          <w:u w:val="single"/>
        </w:rPr>
      </w:pPr>
      <w:bookmarkStart w:id="80" w:name="_Toc20691"/>
      <w:bookmarkStart w:id="81" w:name="_Toc5447"/>
      <w:r>
        <w:rPr>
          <w:rFonts w:hint="eastAsia" w:ascii="黑体" w:hAnsi="黑体" w:eastAsia="黑体" w:cs="黑体"/>
          <w:b/>
          <w:sz w:val="36"/>
          <w:szCs w:val="32"/>
        </w:rPr>
        <w:br w:type="page"/>
      </w:r>
      <w:bookmarkEnd w:id="80"/>
      <w:bookmarkEnd w:id="81"/>
    </w:p>
    <w:p w14:paraId="3321D059">
      <w:pPr>
        <w:rPr>
          <w:b/>
          <w:bCs/>
          <w:sz w:val="44"/>
          <w:szCs w:val="52"/>
        </w:rPr>
      </w:pPr>
    </w:p>
    <w:sectPr>
      <w:headerReference r:id="rId11" w:type="default"/>
      <w:footerReference r:id="rId12"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78BDC16-F848-4C1C-83C2-E9A30D0BACDF}"/>
  </w:font>
  <w:font w:name="Arial">
    <w:panose1 w:val="020B0604020202020204"/>
    <w:charset w:val="01"/>
    <w:family w:val="swiss"/>
    <w:pitch w:val="default"/>
    <w:sig w:usb0="E0002EFF" w:usb1="C000785B" w:usb2="00000009" w:usb3="00000000" w:csb0="400001FF" w:csb1="FFFF0000"/>
    <w:embedRegular r:id="rId2" w:fontKey="{2C78AB13-F158-4A2A-B480-DE66C78F95BB}"/>
  </w:font>
  <w:font w:name="黑体">
    <w:panose1 w:val="02010609060101010101"/>
    <w:charset w:val="86"/>
    <w:family w:val="auto"/>
    <w:pitch w:val="default"/>
    <w:sig w:usb0="800002BF" w:usb1="38CF7CFA" w:usb2="00000016" w:usb3="00000000" w:csb0="00040001" w:csb1="00000000"/>
    <w:embedRegular r:id="rId3" w:fontKey="{C7FDDCF5-AAD3-4615-98F9-9387D9F8836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3FB9355C-C3B1-4058-AC0F-B03266990184}"/>
  </w:font>
  <w:font w:name="仿宋">
    <w:panose1 w:val="02010609060101010101"/>
    <w:charset w:val="86"/>
    <w:family w:val="modern"/>
    <w:pitch w:val="default"/>
    <w:sig w:usb0="800002BF" w:usb1="38CF7CFA" w:usb2="00000016" w:usb3="00000000" w:csb0="00040001" w:csb1="00000000"/>
    <w:embedRegular r:id="rId5" w:fontKey="{BC424ECF-F6CF-43CC-B0A7-2F181BB2108D}"/>
  </w:font>
  <w:font w:name="Calibri Light">
    <w:panose1 w:val="020F0302020204030204"/>
    <w:charset w:val="00"/>
    <w:family w:val="auto"/>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6" w:fontKey="{BCC5C52D-428F-476D-993D-9B4F541050DE}"/>
  </w:font>
  <w:font w:name="华文中宋">
    <w:panose1 w:val="02010600040101010101"/>
    <w:charset w:val="86"/>
    <w:family w:val="auto"/>
    <w:pitch w:val="default"/>
    <w:sig w:usb0="00000287" w:usb1="080F0000" w:usb2="00000000" w:usb3="00000000" w:csb0="0004009F" w:csb1="DFD70000"/>
    <w:embedRegular r:id="rId7" w:fontKey="{71444A91-31DA-4311-9637-A1BE2213D045}"/>
  </w:font>
  <w:font w:name="KSOFE816CA0F">
    <w:panose1 w:val="02020603050405020304"/>
    <w:charset w:val="00"/>
    <w:family w:val="auto"/>
    <w:pitch w:val="default"/>
    <w:sig w:usb0="00000001" w:usb1="00000000" w:usb2="00000000" w:usb3="00000000" w:csb0="0000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5FAC5">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E4C59">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3920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CF5C0">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DDFF3">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732721">
                          <w:pPr>
                            <w:pStyle w:val="14"/>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rPr>
                            <w:t>2</w:t>
                          </w:r>
                          <w:r>
                            <w:t>5页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5732721">
                    <w:pPr>
                      <w:pStyle w:val="14"/>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rPr>
                      <w:t>2</w:t>
                    </w:r>
                    <w:r>
                      <w:t>5页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19FA8">
    <w:pPr>
      <w:pStyle w:val="16"/>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B83A5">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BE869">
    <w:pPr>
      <w:pStyle w:val="1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AA3A9">
    <w:pPr>
      <w:pStyle w:val="16"/>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B1B3E">
    <w:pPr>
      <w:pStyle w:val="3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6">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7">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8">
    <w:nsid w:val="F2F731C3"/>
    <w:multiLevelType w:val="singleLevel"/>
    <w:tmpl w:val="F2F731C3"/>
    <w:lvl w:ilvl="0" w:tentative="0">
      <w:start w:val="1"/>
      <w:numFmt w:val="chineseCounting"/>
      <w:pStyle w:val="3"/>
      <w:suff w:val="nothing"/>
      <w:lvlText w:val="%1、"/>
      <w:lvlJc w:val="left"/>
      <w:pPr>
        <w:ind w:left="1990" w:firstLine="420"/>
      </w:pPr>
      <w:rPr>
        <w:rFonts w:hint="eastAsia"/>
      </w:rPr>
    </w:lvl>
  </w:abstractNum>
  <w:abstractNum w:abstractNumId="9">
    <w:nsid w:val="FCA5E3A8"/>
    <w:multiLevelType w:val="singleLevel"/>
    <w:tmpl w:val="FCA5E3A8"/>
    <w:lvl w:ilvl="0" w:tentative="0">
      <w:start w:val="1"/>
      <w:numFmt w:val="decimal"/>
      <w:suff w:val="nothing"/>
      <w:lvlText w:val="（%1）"/>
      <w:lvlJc w:val="left"/>
      <w:pPr>
        <w:ind w:left="-210"/>
      </w:pPr>
    </w:lvl>
  </w:abstractNum>
  <w:abstractNum w:abstractNumId="10">
    <w:nsid w:val="1F712D09"/>
    <w:multiLevelType w:val="singleLevel"/>
    <w:tmpl w:val="1F712D09"/>
    <w:lvl w:ilvl="0" w:tentative="0">
      <w:start w:val="1"/>
      <w:numFmt w:val="decimal"/>
      <w:lvlText w:val="(%1)"/>
      <w:lvlJc w:val="left"/>
      <w:pPr>
        <w:ind w:left="218" w:hanging="425"/>
      </w:pPr>
      <w:rPr>
        <w:rFonts w:hint="default"/>
      </w:rPr>
    </w:lvl>
  </w:abstractNum>
  <w:abstractNum w:abstractNumId="11">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2">
    <w:nsid w:val="3A69C7D9"/>
    <w:multiLevelType w:val="singleLevel"/>
    <w:tmpl w:val="3A69C7D9"/>
    <w:lvl w:ilvl="0" w:tentative="0">
      <w:start w:val="1"/>
      <w:numFmt w:val="decimal"/>
      <w:lvlText w:val="(%1)"/>
      <w:lvlJc w:val="left"/>
      <w:pPr>
        <w:ind w:left="425" w:hanging="425"/>
      </w:pPr>
      <w:rPr>
        <w:rFonts w:hint="default"/>
      </w:rPr>
    </w:lvl>
  </w:abstractNum>
  <w:abstractNum w:abstractNumId="13">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4">
    <w:nsid w:val="3F851306"/>
    <w:multiLevelType w:val="multilevel"/>
    <w:tmpl w:val="3F851306"/>
    <w:lvl w:ilvl="0" w:tentative="0">
      <w:start w:val="1"/>
      <w:numFmt w:val="decimal"/>
      <w:lvlText w:val="%1、"/>
      <w:lvlJc w:val="left"/>
      <w:pPr>
        <w:ind w:left="570" w:hanging="360"/>
      </w:pPr>
      <w:rPr>
        <w:rFonts w:hint="default"/>
      </w:rPr>
    </w:lvl>
    <w:lvl w:ilvl="1" w:tentative="0">
      <w:start w:val="8"/>
      <w:numFmt w:val="japaneseCounting"/>
      <w:lvlText w:val="%2、"/>
      <w:lvlJc w:val="left"/>
      <w:pPr>
        <w:ind w:left="1429" w:hanging="720"/>
      </w:pPr>
      <w:rPr>
        <w:rFonts w:hint="default"/>
      </w:r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5">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6">
    <w:nsid w:val="5EBAB16C"/>
    <w:multiLevelType w:val="singleLevel"/>
    <w:tmpl w:val="5EBAB16C"/>
    <w:lvl w:ilvl="0" w:tentative="0">
      <w:start w:val="5"/>
      <w:numFmt w:val="chineseCounting"/>
      <w:suff w:val="space"/>
      <w:lvlText w:val="第%1章"/>
      <w:lvlJc w:val="left"/>
      <w:rPr>
        <w:rFonts w:hint="eastAsia"/>
      </w:rPr>
    </w:lvl>
  </w:abstractNum>
  <w:abstractNum w:abstractNumId="17">
    <w:nsid w:val="770C1C50"/>
    <w:multiLevelType w:val="singleLevel"/>
    <w:tmpl w:val="770C1C50"/>
    <w:lvl w:ilvl="0" w:tentative="0">
      <w:start w:val="1"/>
      <w:numFmt w:val="chineseCounting"/>
      <w:suff w:val="nothing"/>
      <w:lvlText w:val="%1、"/>
      <w:lvlJc w:val="left"/>
      <w:pPr>
        <w:ind w:left="0" w:firstLine="420"/>
      </w:pPr>
      <w:rPr>
        <w:rFonts w:hint="eastAsia"/>
      </w:rPr>
    </w:lvl>
  </w:abstractNum>
  <w:abstractNum w:abstractNumId="18">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1"/>
  </w:num>
  <w:num w:numId="2">
    <w:abstractNumId w:val="8"/>
  </w:num>
  <w:num w:numId="3">
    <w:abstractNumId w:val="13"/>
  </w:num>
  <w:num w:numId="4">
    <w:abstractNumId w:val="18"/>
  </w:num>
  <w:num w:numId="5">
    <w:abstractNumId w:val="10"/>
  </w:num>
  <w:num w:numId="6">
    <w:abstractNumId w:val="15"/>
  </w:num>
  <w:num w:numId="7">
    <w:abstractNumId w:val="12"/>
  </w:num>
  <w:num w:numId="8">
    <w:abstractNumId w:val="7"/>
  </w:num>
  <w:num w:numId="9">
    <w:abstractNumId w:val="14"/>
  </w:num>
  <w:num w:numId="10">
    <w:abstractNumId w:val="1"/>
  </w:num>
  <w:num w:numId="11">
    <w:abstractNumId w:val="4"/>
  </w:num>
  <w:num w:numId="12">
    <w:abstractNumId w:val="0"/>
  </w:num>
  <w:num w:numId="13">
    <w:abstractNumId w:val="2"/>
  </w:num>
  <w:num w:numId="14">
    <w:abstractNumId w:val="6"/>
  </w:num>
  <w:num w:numId="15">
    <w:abstractNumId w:val="3"/>
  </w:num>
  <w:num w:numId="16">
    <w:abstractNumId w:val="5"/>
  </w:num>
  <w:num w:numId="17">
    <w:abstractNumId w:val="9"/>
  </w:num>
  <w:num w:numId="18">
    <w:abstractNumId w:val="1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96B4A"/>
    <w:rsid w:val="000B7793"/>
    <w:rsid w:val="000C337E"/>
    <w:rsid w:val="00114C26"/>
    <w:rsid w:val="00163C94"/>
    <w:rsid w:val="001A04E2"/>
    <w:rsid w:val="00207D04"/>
    <w:rsid w:val="00217A0D"/>
    <w:rsid w:val="0022301C"/>
    <w:rsid w:val="002751DD"/>
    <w:rsid w:val="002B5793"/>
    <w:rsid w:val="002E68AF"/>
    <w:rsid w:val="00395580"/>
    <w:rsid w:val="003F028A"/>
    <w:rsid w:val="004035FE"/>
    <w:rsid w:val="00403654"/>
    <w:rsid w:val="00421AD9"/>
    <w:rsid w:val="00461368"/>
    <w:rsid w:val="00463DD9"/>
    <w:rsid w:val="0046491D"/>
    <w:rsid w:val="00465660"/>
    <w:rsid w:val="00466DA5"/>
    <w:rsid w:val="00474D2A"/>
    <w:rsid w:val="00482C70"/>
    <w:rsid w:val="00483AB3"/>
    <w:rsid w:val="004D41D3"/>
    <w:rsid w:val="004F4DC4"/>
    <w:rsid w:val="00526A0D"/>
    <w:rsid w:val="00555827"/>
    <w:rsid w:val="005A33DF"/>
    <w:rsid w:val="005A705A"/>
    <w:rsid w:val="005F56BD"/>
    <w:rsid w:val="006001D5"/>
    <w:rsid w:val="006040D8"/>
    <w:rsid w:val="00640C2B"/>
    <w:rsid w:val="0064444C"/>
    <w:rsid w:val="00652585"/>
    <w:rsid w:val="00673DA4"/>
    <w:rsid w:val="00677BCD"/>
    <w:rsid w:val="006F4109"/>
    <w:rsid w:val="007365C1"/>
    <w:rsid w:val="00746494"/>
    <w:rsid w:val="007650DB"/>
    <w:rsid w:val="007760AF"/>
    <w:rsid w:val="00780419"/>
    <w:rsid w:val="007B3659"/>
    <w:rsid w:val="007C6F18"/>
    <w:rsid w:val="00823167"/>
    <w:rsid w:val="008439DA"/>
    <w:rsid w:val="008B534E"/>
    <w:rsid w:val="008C1818"/>
    <w:rsid w:val="008F14FA"/>
    <w:rsid w:val="008F26A3"/>
    <w:rsid w:val="009365B8"/>
    <w:rsid w:val="0094161B"/>
    <w:rsid w:val="00974D88"/>
    <w:rsid w:val="00A12C4A"/>
    <w:rsid w:val="00A46DD1"/>
    <w:rsid w:val="00A72CD1"/>
    <w:rsid w:val="00A7781A"/>
    <w:rsid w:val="00AE7876"/>
    <w:rsid w:val="00B039D6"/>
    <w:rsid w:val="00B07570"/>
    <w:rsid w:val="00B16CD7"/>
    <w:rsid w:val="00B2440D"/>
    <w:rsid w:val="00B55385"/>
    <w:rsid w:val="00B63B3D"/>
    <w:rsid w:val="00BC1C51"/>
    <w:rsid w:val="00BE026E"/>
    <w:rsid w:val="00BE12C0"/>
    <w:rsid w:val="00BE5655"/>
    <w:rsid w:val="00BF0CD1"/>
    <w:rsid w:val="00BF35B5"/>
    <w:rsid w:val="00C06635"/>
    <w:rsid w:val="00C12547"/>
    <w:rsid w:val="00C16D65"/>
    <w:rsid w:val="00C4482E"/>
    <w:rsid w:val="00C51669"/>
    <w:rsid w:val="00C80DB0"/>
    <w:rsid w:val="00C866E7"/>
    <w:rsid w:val="00CA6EE8"/>
    <w:rsid w:val="00D06B57"/>
    <w:rsid w:val="00D14E92"/>
    <w:rsid w:val="00D34523"/>
    <w:rsid w:val="00D644BF"/>
    <w:rsid w:val="00D7089D"/>
    <w:rsid w:val="00DB3358"/>
    <w:rsid w:val="00DB406D"/>
    <w:rsid w:val="00DB7281"/>
    <w:rsid w:val="00DF3B6A"/>
    <w:rsid w:val="00E30F6B"/>
    <w:rsid w:val="00E6714A"/>
    <w:rsid w:val="00E75424"/>
    <w:rsid w:val="00E81879"/>
    <w:rsid w:val="00F3202A"/>
    <w:rsid w:val="00F33158"/>
    <w:rsid w:val="00F523A1"/>
    <w:rsid w:val="00F90C3B"/>
    <w:rsid w:val="00FE1AEE"/>
    <w:rsid w:val="00FF60E3"/>
    <w:rsid w:val="017D59D9"/>
    <w:rsid w:val="01FF1E15"/>
    <w:rsid w:val="02E34968"/>
    <w:rsid w:val="037B73C5"/>
    <w:rsid w:val="038E0C11"/>
    <w:rsid w:val="041D546A"/>
    <w:rsid w:val="058C78B0"/>
    <w:rsid w:val="05E13064"/>
    <w:rsid w:val="06043A48"/>
    <w:rsid w:val="06B15041"/>
    <w:rsid w:val="07275343"/>
    <w:rsid w:val="076444C8"/>
    <w:rsid w:val="078909F5"/>
    <w:rsid w:val="07CA7DEC"/>
    <w:rsid w:val="07E436C5"/>
    <w:rsid w:val="08CC67C9"/>
    <w:rsid w:val="091F389C"/>
    <w:rsid w:val="093A3733"/>
    <w:rsid w:val="0A5B6C7C"/>
    <w:rsid w:val="0AD74272"/>
    <w:rsid w:val="0B223ED3"/>
    <w:rsid w:val="0B395F4B"/>
    <w:rsid w:val="0B4276FF"/>
    <w:rsid w:val="0B4508AE"/>
    <w:rsid w:val="0BF34D9F"/>
    <w:rsid w:val="0C375F99"/>
    <w:rsid w:val="0CD33899"/>
    <w:rsid w:val="0DD431BA"/>
    <w:rsid w:val="0DF04D08"/>
    <w:rsid w:val="0E0B7FF0"/>
    <w:rsid w:val="0E9A4D55"/>
    <w:rsid w:val="0EB75826"/>
    <w:rsid w:val="0F1E6969"/>
    <w:rsid w:val="0F23034D"/>
    <w:rsid w:val="0F2E7774"/>
    <w:rsid w:val="0F522C33"/>
    <w:rsid w:val="0FBF2BE4"/>
    <w:rsid w:val="10453CDC"/>
    <w:rsid w:val="111E5122"/>
    <w:rsid w:val="116752E1"/>
    <w:rsid w:val="117A5014"/>
    <w:rsid w:val="11B31C24"/>
    <w:rsid w:val="11BC3956"/>
    <w:rsid w:val="11C15BEE"/>
    <w:rsid w:val="11D34725"/>
    <w:rsid w:val="12592B05"/>
    <w:rsid w:val="127F05A0"/>
    <w:rsid w:val="12CC371E"/>
    <w:rsid w:val="12E75E98"/>
    <w:rsid w:val="12EA1E51"/>
    <w:rsid w:val="13542C29"/>
    <w:rsid w:val="136D78F8"/>
    <w:rsid w:val="13A63913"/>
    <w:rsid w:val="13CA1BEF"/>
    <w:rsid w:val="14293155"/>
    <w:rsid w:val="143F1847"/>
    <w:rsid w:val="146124BC"/>
    <w:rsid w:val="146C3D6E"/>
    <w:rsid w:val="14A910E0"/>
    <w:rsid w:val="14EF122E"/>
    <w:rsid w:val="15933297"/>
    <w:rsid w:val="15C26E1F"/>
    <w:rsid w:val="15DC53AD"/>
    <w:rsid w:val="162A4F7D"/>
    <w:rsid w:val="16F071FF"/>
    <w:rsid w:val="17130116"/>
    <w:rsid w:val="17887E32"/>
    <w:rsid w:val="17F1147E"/>
    <w:rsid w:val="18592901"/>
    <w:rsid w:val="19847FC3"/>
    <w:rsid w:val="1994787E"/>
    <w:rsid w:val="19B32B29"/>
    <w:rsid w:val="1A586B54"/>
    <w:rsid w:val="1AEF347F"/>
    <w:rsid w:val="1B077F7A"/>
    <w:rsid w:val="1B3B2C45"/>
    <w:rsid w:val="1C1F383F"/>
    <w:rsid w:val="1DD000AF"/>
    <w:rsid w:val="1E09745A"/>
    <w:rsid w:val="1E14234D"/>
    <w:rsid w:val="1E8F4CF1"/>
    <w:rsid w:val="1EEA46C4"/>
    <w:rsid w:val="1F4F7C3B"/>
    <w:rsid w:val="1F920200"/>
    <w:rsid w:val="1F923E71"/>
    <w:rsid w:val="20580C17"/>
    <w:rsid w:val="20D97009"/>
    <w:rsid w:val="210C2FB0"/>
    <w:rsid w:val="2173335D"/>
    <w:rsid w:val="22691158"/>
    <w:rsid w:val="23791F56"/>
    <w:rsid w:val="250334A1"/>
    <w:rsid w:val="257858B7"/>
    <w:rsid w:val="25BD312B"/>
    <w:rsid w:val="262C2FF8"/>
    <w:rsid w:val="26614BE2"/>
    <w:rsid w:val="26A655F4"/>
    <w:rsid w:val="28FF2906"/>
    <w:rsid w:val="29502FD4"/>
    <w:rsid w:val="298E56A9"/>
    <w:rsid w:val="29A078DB"/>
    <w:rsid w:val="29AD3C82"/>
    <w:rsid w:val="29C5318E"/>
    <w:rsid w:val="29D11A3A"/>
    <w:rsid w:val="29E1357F"/>
    <w:rsid w:val="2A3335F4"/>
    <w:rsid w:val="2AAD33E1"/>
    <w:rsid w:val="2AE409B4"/>
    <w:rsid w:val="2AEF232A"/>
    <w:rsid w:val="2AF54989"/>
    <w:rsid w:val="2B7A1DE5"/>
    <w:rsid w:val="2C9A0A9E"/>
    <w:rsid w:val="2CC93AF1"/>
    <w:rsid w:val="2CCB09C2"/>
    <w:rsid w:val="2CE356C1"/>
    <w:rsid w:val="2CE462F8"/>
    <w:rsid w:val="2DA70D65"/>
    <w:rsid w:val="2DCB2E2D"/>
    <w:rsid w:val="2E8822E7"/>
    <w:rsid w:val="2F1C0375"/>
    <w:rsid w:val="2F966F61"/>
    <w:rsid w:val="305F1EED"/>
    <w:rsid w:val="31F51A59"/>
    <w:rsid w:val="32724DD0"/>
    <w:rsid w:val="32CE4379"/>
    <w:rsid w:val="33C24ADF"/>
    <w:rsid w:val="343706EB"/>
    <w:rsid w:val="34496B55"/>
    <w:rsid w:val="34D80120"/>
    <w:rsid w:val="351A08D0"/>
    <w:rsid w:val="357519FC"/>
    <w:rsid w:val="35A61797"/>
    <w:rsid w:val="35D03474"/>
    <w:rsid w:val="35D74205"/>
    <w:rsid w:val="367D6EF4"/>
    <w:rsid w:val="37BF3B20"/>
    <w:rsid w:val="380B5401"/>
    <w:rsid w:val="38323B02"/>
    <w:rsid w:val="38AE5E8C"/>
    <w:rsid w:val="3A335BDD"/>
    <w:rsid w:val="3A900FE8"/>
    <w:rsid w:val="3AF76D4D"/>
    <w:rsid w:val="3B4E7DFC"/>
    <w:rsid w:val="3C1C42E1"/>
    <w:rsid w:val="3C5B170F"/>
    <w:rsid w:val="3D375AA1"/>
    <w:rsid w:val="3D931F15"/>
    <w:rsid w:val="3DB777F7"/>
    <w:rsid w:val="3E535C46"/>
    <w:rsid w:val="3EA40469"/>
    <w:rsid w:val="3F762A0F"/>
    <w:rsid w:val="3FA84948"/>
    <w:rsid w:val="3FE34CD0"/>
    <w:rsid w:val="40B05AAD"/>
    <w:rsid w:val="41600431"/>
    <w:rsid w:val="41970CA5"/>
    <w:rsid w:val="42075FF8"/>
    <w:rsid w:val="42E77C3D"/>
    <w:rsid w:val="43B7159B"/>
    <w:rsid w:val="44D13AF4"/>
    <w:rsid w:val="46271B24"/>
    <w:rsid w:val="465D0053"/>
    <w:rsid w:val="468567BB"/>
    <w:rsid w:val="4782487D"/>
    <w:rsid w:val="483002E2"/>
    <w:rsid w:val="4879128B"/>
    <w:rsid w:val="48C634C3"/>
    <w:rsid w:val="48D62926"/>
    <w:rsid w:val="49180694"/>
    <w:rsid w:val="49344560"/>
    <w:rsid w:val="495751DE"/>
    <w:rsid w:val="49C6776A"/>
    <w:rsid w:val="4AB820A2"/>
    <w:rsid w:val="4AD11442"/>
    <w:rsid w:val="4AE50A49"/>
    <w:rsid w:val="4B4F618D"/>
    <w:rsid w:val="4BAD0151"/>
    <w:rsid w:val="4C8F75A2"/>
    <w:rsid w:val="4CB701C3"/>
    <w:rsid w:val="4E59452C"/>
    <w:rsid w:val="4E7B4035"/>
    <w:rsid w:val="4E8C008E"/>
    <w:rsid w:val="4FD14828"/>
    <w:rsid w:val="506A72A7"/>
    <w:rsid w:val="50771A9C"/>
    <w:rsid w:val="50F56550"/>
    <w:rsid w:val="51D57A6A"/>
    <w:rsid w:val="52EC23F5"/>
    <w:rsid w:val="532C5467"/>
    <w:rsid w:val="53706852"/>
    <w:rsid w:val="53854CE8"/>
    <w:rsid w:val="53BF0A7B"/>
    <w:rsid w:val="5455382C"/>
    <w:rsid w:val="545E542E"/>
    <w:rsid w:val="566B5FD6"/>
    <w:rsid w:val="568C0876"/>
    <w:rsid w:val="56A53892"/>
    <w:rsid w:val="5728175E"/>
    <w:rsid w:val="572D64B0"/>
    <w:rsid w:val="5734171E"/>
    <w:rsid w:val="57C512E5"/>
    <w:rsid w:val="580B5743"/>
    <w:rsid w:val="586B0701"/>
    <w:rsid w:val="58AB32D2"/>
    <w:rsid w:val="58BD4DB3"/>
    <w:rsid w:val="59710D46"/>
    <w:rsid w:val="59CC068D"/>
    <w:rsid w:val="5A6223A5"/>
    <w:rsid w:val="5B243E89"/>
    <w:rsid w:val="5B5A4B3C"/>
    <w:rsid w:val="5B800F26"/>
    <w:rsid w:val="5BCC6458"/>
    <w:rsid w:val="5C124930"/>
    <w:rsid w:val="5C4A7838"/>
    <w:rsid w:val="5C9A22F9"/>
    <w:rsid w:val="5DBF13D4"/>
    <w:rsid w:val="5E40270F"/>
    <w:rsid w:val="5E543889"/>
    <w:rsid w:val="5EB9456E"/>
    <w:rsid w:val="5EFC3EB9"/>
    <w:rsid w:val="5F796A42"/>
    <w:rsid w:val="60605BAC"/>
    <w:rsid w:val="60C53B7A"/>
    <w:rsid w:val="60D602FB"/>
    <w:rsid w:val="60D92922"/>
    <w:rsid w:val="60DE30BD"/>
    <w:rsid w:val="60E308E3"/>
    <w:rsid w:val="62330506"/>
    <w:rsid w:val="62AB1B1D"/>
    <w:rsid w:val="62C51434"/>
    <w:rsid w:val="632E2511"/>
    <w:rsid w:val="63553057"/>
    <w:rsid w:val="63A9427A"/>
    <w:rsid w:val="63AB062A"/>
    <w:rsid w:val="63CC2581"/>
    <w:rsid w:val="63D462B1"/>
    <w:rsid w:val="641A3596"/>
    <w:rsid w:val="647C6435"/>
    <w:rsid w:val="65770634"/>
    <w:rsid w:val="65E40ADA"/>
    <w:rsid w:val="66330B86"/>
    <w:rsid w:val="66422221"/>
    <w:rsid w:val="664803B2"/>
    <w:rsid w:val="66A70F60"/>
    <w:rsid w:val="66E22203"/>
    <w:rsid w:val="66E87583"/>
    <w:rsid w:val="67133952"/>
    <w:rsid w:val="67330CCC"/>
    <w:rsid w:val="67C95196"/>
    <w:rsid w:val="68B101CC"/>
    <w:rsid w:val="690C2243"/>
    <w:rsid w:val="69A7257C"/>
    <w:rsid w:val="69D50CF4"/>
    <w:rsid w:val="69DD3507"/>
    <w:rsid w:val="6AA97CAB"/>
    <w:rsid w:val="6AD401BA"/>
    <w:rsid w:val="6C487AFD"/>
    <w:rsid w:val="6CB24363"/>
    <w:rsid w:val="6DA52693"/>
    <w:rsid w:val="6DE728CA"/>
    <w:rsid w:val="6F9B5CDF"/>
    <w:rsid w:val="6FA23F69"/>
    <w:rsid w:val="6FCF0795"/>
    <w:rsid w:val="70076B11"/>
    <w:rsid w:val="70480305"/>
    <w:rsid w:val="70E60EF4"/>
    <w:rsid w:val="71104836"/>
    <w:rsid w:val="71646B2B"/>
    <w:rsid w:val="71B12785"/>
    <w:rsid w:val="71CB7ED7"/>
    <w:rsid w:val="71E250B7"/>
    <w:rsid w:val="72D75444"/>
    <w:rsid w:val="72ED1754"/>
    <w:rsid w:val="73634FBB"/>
    <w:rsid w:val="74054476"/>
    <w:rsid w:val="741C016E"/>
    <w:rsid w:val="743E1047"/>
    <w:rsid w:val="745F66ED"/>
    <w:rsid w:val="752F0ACE"/>
    <w:rsid w:val="75306550"/>
    <w:rsid w:val="75331EE9"/>
    <w:rsid w:val="754D1D92"/>
    <w:rsid w:val="758A1FF2"/>
    <w:rsid w:val="75BD46DB"/>
    <w:rsid w:val="76536663"/>
    <w:rsid w:val="77933457"/>
    <w:rsid w:val="77F474AF"/>
    <w:rsid w:val="78202D4E"/>
    <w:rsid w:val="78273E08"/>
    <w:rsid w:val="78493763"/>
    <w:rsid w:val="78C66E03"/>
    <w:rsid w:val="78E44CAE"/>
    <w:rsid w:val="79967A89"/>
    <w:rsid w:val="79EE0E19"/>
    <w:rsid w:val="79F0530A"/>
    <w:rsid w:val="7A28257D"/>
    <w:rsid w:val="7B550DA5"/>
    <w:rsid w:val="7B5F74F8"/>
    <w:rsid w:val="7B690630"/>
    <w:rsid w:val="7B975062"/>
    <w:rsid w:val="7BA4104A"/>
    <w:rsid w:val="7BB6153E"/>
    <w:rsid w:val="7BB816DF"/>
    <w:rsid w:val="7CE74C9B"/>
    <w:rsid w:val="7CF47CCC"/>
    <w:rsid w:val="7D040AB6"/>
    <w:rsid w:val="7D4119E6"/>
    <w:rsid w:val="7D9A0E89"/>
    <w:rsid w:val="7DBE2B71"/>
    <w:rsid w:val="7E2E0BED"/>
    <w:rsid w:val="7E8C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qFormat="1"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basedOn w:val="1"/>
    <w:next w:val="1"/>
    <w:link w:val="44"/>
    <w:qFormat/>
    <w:uiPriority w:val="0"/>
    <w:pPr>
      <w:numPr>
        <w:ilvl w:val="0"/>
        <w:numId w:val="2"/>
      </w:numPr>
      <w:autoSpaceDE w:val="0"/>
      <w:autoSpaceDN w:val="0"/>
      <w:adjustRightInd w:val="0"/>
      <w:spacing w:line="360" w:lineRule="auto"/>
      <w:ind w:left="0"/>
      <w:jc w:val="center"/>
      <w:outlineLvl w:val="1"/>
    </w:pPr>
    <w:rPr>
      <w:rFonts w:ascii="Times New Roman" w:hAnsi="Times New Roman" w:eastAsia="仿宋" w:cs="Times New Roman"/>
      <w:b/>
      <w:sz w:val="32"/>
      <w:lang w:val="en-US" w:eastAsia="zh-CN" w:bidi="ar-SA"/>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index 8"/>
    <w:basedOn w:val="1"/>
    <w:next w:val="1"/>
    <w:unhideWhenUsed/>
    <w:qFormat/>
    <w:uiPriority w:val="99"/>
    <w:pPr>
      <w:ind w:left="2940" w:leftChars="1400" w:right="320"/>
    </w:pPr>
  </w:style>
  <w:style w:type="paragraph" w:styleId="6">
    <w:name w:val="Normal Indent"/>
    <w:basedOn w:val="1"/>
    <w:next w:val="1"/>
    <w:qFormat/>
    <w:uiPriority w:val="0"/>
    <w:pPr>
      <w:ind w:firstLine="420" w:firstLineChars="200"/>
    </w:pPr>
    <w:rPr>
      <w:kern w:val="0"/>
      <w:sz w:val="24"/>
      <w:szCs w:val="20"/>
    </w:rPr>
  </w:style>
  <w:style w:type="paragraph" w:styleId="7">
    <w:name w:val="toa heading"/>
    <w:basedOn w:val="1"/>
    <w:next w:val="1"/>
    <w:unhideWhenUsed/>
    <w:qFormat/>
    <w:uiPriority w:val="99"/>
    <w:pPr>
      <w:spacing w:before="120"/>
    </w:pPr>
    <w:rPr>
      <w:rFonts w:asciiTheme="majorHAnsi" w:hAnsiTheme="majorHAnsi" w:eastAsiaTheme="majorEastAsia" w:cstheme="majorBidi"/>
    </w:rPr>
  </w:style>
  <w:style w:type="paragraph" w:styleId="8">
    <w:name w:val="annotation text"/>
    <w:basedOn w:val="1"/>
    <w:link w:val="41"/>
    <w:qFormat/>
    <w:uiPriority w:val="0"/>
    <w:pPr>
      <w:jc w:val="left"/>
    </w:pPr>
  </w:style>
  <w:style w:type="paragraph" w:styleId="9">
    <w:name w:val="Body Text 3"/>
    <w:basedOn w:val="1"/>
    <w:unhideWhenUsed/>
    <w:qFormat/>
    <w:uiPriority w:val="0"/>
    <w:pPr>
      <w:spacing w:after="120"/>
    </w:pPr>
    <w:rPr>
      <w:sz w:val="16"/>
      <w:szCs w:val="16"/>
    </w:rPr>
  </w:style>
  <w:style w:type="paragraph" w:styleId="10">
    <w:name w:val="Body Text"/>
    <w:basedOn w:val="1"/>
    <w:next w:val="5"/>
    <w:qFormat/>
    <w:uiPriority w:val="0"/>
    <w:pPr>
      <w:spacing w:after="120"/>
    </w:pPr>
  </w:style>
  <w:style w:type="paragraph" w:styleId="11">
    <w:name w:val="Body Text Indent"/>
    <w:basedOn w:val="1"/>
    <w:unhideWhenUsed/>
    <w:qFormat/>
    <w:uiPriority w:val="99"/>
    <w:pPr>
      <w:ind w:firstLine="630"/>
    </w:pPr>
    <w:rPr>
      <w:rFonts w:ascii="Calibri"/>
      <w:sz w:val="32"/>
      <w:szCs w:val="20"/>
    </w:rPr>
  </w:style>
  <w:style w:type="paragraph" w:styleId="12">
    <w:name w:val="Body Text Indent 2"/>
    <w:basedOn w:val="1"/>
    <w:link w:val="36"/>
    <w:qFormat/>
    <w:uiPriority w:val="0"/>
    <w:pPr>
      <w:spacing w:after="120" w:line="480" w:lineRule="auto"/>
      <w:ind w:left="420" w:leftChars="200"/>
    </w:pPr>
    <w:rPr>
      <w:szCs w:val="20"/>
    </w:rPr>
  </w:style>
  <w:style w:type="paragraph" w:styleId="13">
    <w:name w:val="Balloon Text"/>
    <w:basedOn w:val="1"/>
    <w:link w:val="43"/>
    <w:qFormat/>
    <w:uiPriority w:val="0"/>
    <w:rPr>
      <w:sz w:val="18"/>
      <w:szCs w:val="18"/>
    </w:rPr>
  </w:style>
  <w:style w:type="paragraph" w:styleId="14">
    <w:name w:val="footer"/>
    <w:basedOn w:val="1"/>
    <w:link w:val="48"/>
    <w:unhideWhenUsed/>
    <w:qFormat/>
    <w:uiPriority w:val="99"/>
    <w:pPr>
      <w:tabs>
        <w:tab w:val="center" w:pos="4153"/>
        <w:tab w:val="right" w:pos="8306"/>
      </w:tabs>
      <w:snapToGrid w:val="0"/>
      <w:jc w:val="left"/>
    </w:pPr>
    <w:rPr>
      <w:sz w:val="18"/>
      <w:szCs w:val="18"/>
    </w:rPr>
  </w:style>
  <w:style w:type="paragraph" w:styleId="15">
    <w:name w:val="envelope return"/>
    <w:basedOn w:val="1"/>
    <w:qFormat/>
    <w:uiPriority w:val="0"/>
    <w:rPr>
      <w:rFonts w:ascii="Arial" w:hAnsi="Arial"/>
    </w:rPr>
  </w:style>
  <w:style w:type="paragraph" w:styleId="16">
    <w:name w:val="header"/>
    <w:basedOn w:val="1"/>
    <w:next w:val="10"/>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style>
  <w:style w:type="paragraph" w:styleId="18">
    <w:name w:val="Body Text 2"/>
    <w:basedOn w:val="1"/>
    <w:unhideWhenUsed/>
    <w:qFormat/>
    <w:uiPriority w:val="99"/>
    <w:pPr>
      <w:widowControl/>
      <w:spacing w:after="120" w:line="480" w:lineRule="auto"/>
    </w:pPr>
  </w:style>
  <w:style w:type="paragraph" w:styleId="19">
    <w:name w:val="annotation subject"/>
    <w:basedOn w:val="8"/>
    <w:next w:val="8"/>
    <w:link w:val="42"/>
    <w:qFormat/>
    <w:uiPriority w:val="0"/>
    <w:rPr>
      <w:b/>
      <w:bCs/>
    </w:rPr>
  </w:style>
  <w:style w:type="paragraph" w:styleId="20">
    <w:name w:val="Body Text First Indent"/>
    <w:basedOn w:val="10"/>
    <w:link w:val="37"/>
    <w:qFormat/>
    <w:uiPriority w:val="0"/>
    <w:pPr>
      <w:snapToGrid w:val="0"/>
      <w:spacing w:before="40" w:after="40" w:line="288" w:lineRule="auto"/>
      <w:ind w:firstLine="482"/>
    </w:pPr>
    <w:rPr>
      <w:rFonts w:ascii="仿宋_GB2312" w:hAnsi="仿宋_GB2312" w:eastAsia="仿宋_GB2312"/>
      <w:szCs w:val="20"/>
    </w:rPr>
  </w:style>
  <w:style w:type="paragraph" w:styleId="21">
    <w:name w:val="Body Text First Indent 2"/>
    <w:basedOn w:val="11"/>
    <w:next w:val="1"/>
    <w:link w:val="40"/>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basedOn w:val="24"/>
    <w:qFormat/>
    <w:uiPriority w:val="0"/>
    <w:rPr>
      <w:color w:val="0000FF"/>
      <w:u w:val="single"/>
    </w:rPr>
  </w:style>
  <w:style w:type="character" w:styleId="26">
    <w:name w:val="annotation reference"/>
    <w:basedOn w:val="24"/>
    <w:qFormat/>
    <w:uiPriority w:val="0"/>
    <w:rPr>
      <w:sz w:val="21"/>
      <w:szCs w:val="21"/>
    </w:rPr>
  </w:style>
  <w:style w:type="paragraph" w:customStyle="1" w:styleId="27">
    <w:name w:val="Default"/>
    <w:next w:val="28"/>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8">
    <w:name w:val="大标题"/>
    <w:basedOn w:val="1"/>
    <w:next w:val="21"/>
    <w:qFormat/>
    <w:uiPriority w:val="0"/>
    <w:pPr>
      <w:jc w:val="center"/>
    </w:pPr>
    <w:rPr>
      <w:rFonts w:ascii="Arial" w:hAnsi="Arial" w:eastAsia="宋体"/>
      <w:b/>
      <w:sz w:val="28"/>
      <w:szCs w:val="24"/>
    </w:rPr>
  </w:style>
  <w:style w:type="paragraph" w:customStyle="1" w:styleId="29">
    <w:name w:val="标题 5（有编号）（绿盟科技）"/>
    <w:basedOn w:val="30"/>
    <w:next w:val="31"/>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30">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1">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32">
    <w:name w:val="13、表格内居中正文"/>
    <w:basedOn w:val="1"/>
    <w:qFormat/>
    <w:uiPriority w:val="0"/>
    <w:pPr>
      <w:wordWrap w:val="0"/>
      <w:topLinePunct/>
      <w:spacing w:line="360" w:lineRule="exact"/>
      <w:jc w:val="center"/>
    </w:pPr>
    <w:rPr>
      <w:rFonts w:ascii="宋体" w:hAnsi="宋体" w:eastAsia="宋体"/>
    </w:rPr>
  </w:style>
  <w:style w:type="paragraph" w:customStyle="1" w:styleId="3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34">
    <w:name w:val="List Paragraph"/>
    <w:basedOn w:val="1"/>
    <w:qFormat/>
    <w:uiPriority w:val="0"/>
    <w:pPr>
      <w:spacing w:line="500" w:lineRule="exact"/>
      <w:ind w:firstLine="420" w:firstLineChars="200"/>
    </w:pPr>
    <w:rPr>
      <w:szCs w:val="24"/>
    </w:rPr>
  </w:style>
  <w:style w:type="paragraph" w:customStyle="1" w:styleId="35">
    <w:name w:val="正文首行缩进两字符"/>
    <w:basedOn w:val="1"/>
    <w:qFormat/>
    <w:uiPriority w:val="0"/>
    <w:pPr>
      <w:spacing w:line="360" w:lineRule="auto"/>
      <w:ind w:firstLine="200" w:firstLineChars="200"/>
    </w:pPr>
  </w:style>
  <w:style w:type="character" w:customStyle="1" w:styleId="36">
    <w:name w:val="正文文本缩进 2 字符"/>
    <w:link w:val="12"/>
    <w:qFormat/>
    <w:uiPriority w:val="0"/>
    <w:rPr>
      <w:szCs w:val="20"/>
    </w:rPr>
  </w:style>
  <w:style w:type="character" w:customStyle="1" w:styleId="37">
    <w:name w:val="正文首行缩进 字符"/>
    <w:link w:val="20"/>
    <w:qFormat/>
    <w:uiPriority w:val="0"/>
    <w:rPr>
      <w:rFonts w:ascii="仿宋_GB2312" w:hAnsi="仿宋_GB2312" w:eastAsia="仿宋_GB2312"/>
      <w:szCs w:val="20"/>
    </w:rPr>
  </w:style>
  <w:style w:type="paragraph" w:customStyle="1" w:styleId="38">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9">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40">
    <w:name w:val="正文首行缩进 2 字符"/>
    <w:link w:val="21"/>
    <w:qFormat/>
    <w:uiPriority w:val="99"/>
    <w:rPr>
      <w:rFonts w:ascii="宋体" w:hAnsi="Times New Roman"/>
      <w:kern w:val="0"/>
      <w:sz w:val="21"/>
      <w:szCs w:val="24"/>
    </w:rPr>
  </w:style>
  <w:style w:type="character" w:customStyle="1" w:styleId="41">
    <w:name w:val="批注文字 字符"/>
    <w:basedOn w:val="24"/>
    <w:link w:val="8"/>
    <w:qFormat/>
    <w:uiPriority w:val="0"/>
    <w:rPr>
      <w:kern w:val="2"/>
      <w:sz w:val="21"/>
      <w:szCs w:val="22"/>
    </w:rPr>
  </w:style>
  <w:style w:type="character" w:customStyle="1" w:styleId="42">
    <w:name w:val="批注主题 字符"/>
    <w:basedOn w:val="41"/>
    <w:link w:val="19"/>
    <w:qFormat/>
    <w:uiPriority w:val="0"/>
    <w:rPr>
      <w:b/>
      <w:bCs/>
      <w:kern w:val="2"/>
      <w:sz w:val="21"/>
      <w:szCs w:val="22"/>
    </w:rPr>
  </w:style>
  <w:style w:type="character" w:customStyle="1" w:styleId="43">
    <w:name w:val="批注框文本 字符"/>
    <w:basedOn w:val="24"/>
    <w:link w:val="13"/>
    <w:qFormat/>
    <w:uiPriority w:val="0"/>
    <w:rPr>
      <w:kern w:val="2"/>
      <w:sz w:val="18"/>
      <w:szCs w:val="18"/>
    </w:rPr>
  </w:style>
  <w:style w:type="character" w:customStyle="1" w:styleId="44">
    <w:name w:val="标题 2 字符"/>
    <w:link w:val="3"/>
    <w:qFormat/>
    <w:uiPriority w:val="0"/>
    <w:rPr>
      <w:rFonts w:ascii="Times New Roman" w:hAnsi="Times New Roman" w:eastAsia="仿宋" w:cs="Times New Roman"/>
      <w:b/>
      <w:sz w:val="32"/>
    </w:rPr>
  </w:style>
  <w:style w:type="paragraph" w:customStyle="1" w:styleId="45">
    <w:name w:val="_Style 2"/>
    <w:basedOn w:val="1"/>
    <w:qFormat/>
    <w:uiPriority w:val="0"/>
    <w:pPr>
      <w:ind w:firstLine="420" w:firstLineChars="200"/>
    </w:pPr>
    <w:rPr>
      <w:sz w:val="18"/>
      <w:szCs w:val="18"/>
    </w:rPr>
  </w:style>
  <w:style w:type="paragraph" w:styleId="46">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7">
    <w:name w:val="列出段落1"/>
    <w:basedOn w:val="1"/>
    <w:qFormat/>
    <w:uiPriority w:val="0"/>
    <w:pPr>
      <w:ind w:firstLine="420" w:firstLineChars="200"/>
    </w:pPr>
    <w:rPr>
      <w:rFonts w:ascii="Times New Roman" w:hAnsi="Times New Roman" w:eastAsia="宋体" w:cs="Times New Roman"/>
      <w:szCs w:val="20"/>
    </w:rPr>
  </w:style>
  <w:style w:type="character" w:customStyle="1" w:styleId="48">
    <w:name w:val="页脚 字符"/>
    <w:basedOn w:val="24"/>
    <w:link w:val="14"/>
    <w:qFormat/>
    <w:uiPriority w:val="99"/>
    <w:rPr>
      <w:rFonts w:asciiTheme="minorHAnsi" w:hAnsiTheme="minorHAnsi" w:eastAsiaTheme="minorEastAsia" w:cstheme="minorBidi"/>
      <w:kern w:val="2"/>
      <w:sz w:val="18"/>
      <w:szCs w:val="18"/>
    </w:rPr>
  </w:style>
  <w:style w:type="character" w:customStyle="1" w:styleId="49">
    <w:name w:val="页眉 字符"/>
    <w:basedOn w:val="24"/>
    <w:link w:val="16"/>
    <w:qFormat/>
    <w:uiPriority w:val="99"/>
    <w:rPr>
      <w:rFonts w:asciiTheme="minorHAnsi" w:hAnsiTheme="minorHAnsi" w:eastAsiaTheme="minorEastAsia" w:cstheme="minorBidi"/>
      <w:kern w:val="2"/>
      <w:sz w:val="18"/>
      <w:szCs w:val="18"/>
    </w:rPr>
  </w:style>
  <w:style w:type="paragraph" w:customStyle="1" w:styleId="50">
    <w:name w:val="列表段落1"/>
    <w:basedOn w:val="1"/>
    <w:autoRedefine/>
    <w:qFormat/>
    <w:uiPriority w:val="34"/>
    <w:pPr>
      <w:ind w:firstLine="420" w:firstLineChars="200"/>
    </w:pPr>
  </w:style>
  <w:style w:type="paragraph" w:customStyle="1" w:styleId="51">
    <w:name w:val="正 文"/>
    <w:basedOn w:val="1"/>
    <w:autoRedefine/>
    <w:qFormat/>
    <w:uiPriority w:val="0"/>
    <w:pPr>
      <w:widowControl/>
      <w:adjustRightInd w:val="0"/>
      <w:spacing w:line="360" w:lineRule="auto"/>
      <w:ind w:firstLine="480" w:firstLineChars="200"/>
      <w:jc w:val="left"/>
      <w:textAlignment w:val="baseline"/>
    </w:pPr>
    <w:rPr>
      <w:rFonts w:ascii="Calibri" w:hAnsi="Calibri" w:eastAsia="宋体" w:cs="Times New Roman"/>
      <w:kern w:val="0"/>
      <w:sz w:val="24"/>
      <w:szCs w:val="32"/>
      <w:lang w:val="zh-CN" w:eastAsia="en-US" w:bidi="en-US"/>
    </w:rPr>
  </w:style>
  <w:style w:type="paragraph" w:customStyle="1" w:styleId="52">
    <w:name w:val="正文空2字"/>
    <w:basedOn w:val="18"/>
    <w:autoRedefine/>
    <w:qFormat/>
    <w:uiPriority w:val="0"/>
    <w:pPr>
      <w:widowControl w:val="0"/>
      <w:spacing w:after="0" w:line="560" w:lineRule="exact"/>
      <w:ind w:firstLine="648"/>
    </w:pPr>
    <w:rPr>
      <w:rFonts w:ascii="仿宋_GB2312" w:hAnsi="微软雅黑"/>
      <w:color w:val="000000"/>
      <w:spacing w:val="2"/>
      <w:szCs w:val="26"/>
      <w:shd w:val="clear" w:color="auto" w:fill="FFFFFF"/>
      <w:lang w:val="zh-TW" w:bidi="zh-CN"/>
    </w:rPr>
  </w:style>
  <w:style w:type="paragraph" w:styleId="5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54">
    <w:name w:val="*正文"/>
    <w:basedOn w:val="1"/>
    <w:next w:val="1"/>
    <w:qFormat/>
    <w:uiPriority w:val="0"/>
    <w:pPr>
      <w:spacing w:line="360" w:lineRule="auto"/>
      <w:ind w:firstLine="480" w:firstLineChars="200"/>
      <w:jc w:val="center"/>
    </w:pPr>
    <w:rPr>
      <w:rFonts w:ascii="Times New Roman" w:hAnsi="Times New Roman" w:eastAsia="微软雅黑" w:cs="Times New Roman"/>
      <w:sz w:val="24"/>
      <w:szCs w:val="21"/>
    </w:rPr>
  </w:style>
  <w:style w:type="paragraph" w:customStyle="1" w:styleId="55">
    <w:name w:val="null3"/>
    <w:qFormat/>
    <w:uiPriority w:val="0"/>
    <w:rPr>
      <w:rFonts w:hint="eastAsia" w:ascii="Calibri" w:hAnsi="Calibri" w:eastAsia="宋体" w:cs="Times New Roman"/>
      <w:lang w:val="en-US" w:eastAsia="zh-Hans" w:bidi="ar-SA"/>
    </w:rPr>
  </w:style>
  <w:style w:type="paragraph" w:customStyle="1" w:styleId="56">
    <w:name w:val="标书_表格正文"/>
    <w:autoRedefine/>
    <w:qFormat/>
    <w:uiPriority w:val="0"/>
    <w:rPr>
      <w:rFonts w:ascii="宋体" w:hAnsi="宋体" w:eastAsia="宋体" w:cstheme="minorBidi"/>
      <w:kern w:val="2"/>
      <w:sz w:val="21"/>
      <w:szCs w:val="21"/>
      <w:lang w:val="en-US" w:eastAsia="zh-CN" w:bidi="ar-SA"/>
    </w:rPr>
  </w:style>
  <w:style w:type="character" w:customStyle="1" w:styleId="57">
    <w:name w:val="font11"/>
    <w:basedOn w:val="24"/>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126F8F-E177-480E-AB47-C4A9EA9D352C}">
  <ds:schemaRefs/>
</ds:datastoreItem>
</file>

<file path=docProps/app.xml><?xml version="1.0" encoding="utf-8"?>
<Properties xmlns="http://schemas.openxmlformats.org/officeDocument/2006/extended-properties" xmlns:vt="http://schemas.openxmlformats.org/officeDocument/2006/docPropsVTypes">
  <Template>Normal</Template>
  <Pages>29</Pages>
  <Words>131</Words>
  <Characters>145</Characters>
  <Lines>60</Lines>
  <Paragraphs>16</Paragraphs>
  <TotalTime>53</TotalTime>
  <ScaleCrop>false</ScaleCrop>
  <LinksUpToDate>false</LinksUpToDate>
  <CharactersWithSpaces>164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2024-08-13T08:16:00Z</dcterms:created>
  <dc:creator>7</dc:creator>
  <cp:lastModifiedBy>Yyh</cp:lastModifiedBy>
  <cp:lastPrinted>2025-07-22T06:19:00Z</cp:lastPrinted>
  <dcterms:modified xsi:type="dcterms:W3CDTF">2026-05-21T07:32:09Z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0D52640C0A224946809EE62587873B4B_13</vt:lpwstr>
  </property>
  <property fmtid="{D5CDD505-2E9C-101B-9397-08002B2CF9AE}" pid="4" name="KSOTemplateDocerSaveRecord">
    <vt:lpwstr>eyJoZGlkIjoiMGVhNTY2M2EwZDMyZTE0NTZiN2UxNDUzN2E2YmY2OTIiLCJ1c2VySWQiOiI2NzcyOTQ5MDQifQ==</vt:lpwstr>
  </property>
</Properties>
</file>