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6号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意外伤害险等保险服务</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意外伤害险等保险服务</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6号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详见价格单价明细表，总价不超过8万</w:t>
            </w:r>
            <w:r>
              <w:rPr>
                <w:rFonts w:hint="eastAsia" w:ascii="仿宋" w:hAnsi="仿宋" w:eastAsia="仿宋" w:cs="仿宋"/>
                <w:sz w:val="22"/>
              </w:rPr>
              <w:t>元</w:t>
            </w:r>
            <w:r>
              <w:rPr>
                <w:rFonts w:hint="eastAsia" w:ascii="仿宋" w:hAnsi="仿宋" w:eastAsia="仿宋" w:cs="仿宋"/>
                <w:sz w:val="22"/>
                <w:lang w:val="en-US" w:eastAsia="zh-CN"/>
              </w:rPr>
              <w:t>/年</w:t>
            </w:r>
            <w:r>
              <w:rPr>
                <w:rFonts w:hint="eastAsia" w:ascii="仿宋" w:hAnsi="仿宋" w:eastAsia="仿宋" w:cs="仿宋"/>
                <w:sz w:val="22"/>
              </w:rPr>
              <w:t>（超过最高限价的报价，其响应文件作无效处理）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电话及短信另行通知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人力资源部</w:t>
            </w:r>
          </w:p>
          <w:p w14:paraId="332E66BC">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尹老师 0816-2242787</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2"/>
        <w:numPr>
          <w:ilvl w:val="0"/>
          <w:numId w:val="0"/>
        </w:numPr>
        <w:ind w:left="402"/>
        <w:rPr>
          <w:rFonts w:ascii="黑体" w:hAnsi="黑体" w:cs="黑体"/>
          <w:szCs w:val="32"/>
        </w:rPr>
      </w:pPr>
      <w:bookmarkStart w:id="4" w:name="_Toc28050"/>
      <w:bookmarkStart w:id="5" w:name="_Toc1940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229F337F">
            <w:pPr>
              <w:pStyle w:val="6"/>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供应商具有《保险许可证》或《经营保险业务许可证》</w:t>
            </w:r>
          </w:p>
          <w:p w14:paraId="661C0A75">
            <w:pPr>
              <w:jc w:val="left"/>
              <w:rPr>
                <w:rFonts w:ascii="仿宋" w:hAnsi="仿宋" w:eastAsia="仿宋" w:cs="仿宋"/>
                <w:sz w:val="22"/>
              </w:rPr>
            </w:pP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E88781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我院就陆续为部分员工（未购五大保险、返聘、</w:t>
      </w:r>
      <w:r>
        <w:rPr>
          <w:rFonts w:hint="eastAsia" w:ascii="宋体" w:hAnsi="宋体" w:eastAsia="宋体" w:cs="宋体"/>
          <w:kern w:val="0"/>
          <w:sz w:val="24"/>
          <w:szCs w:val="24"/>
          <w:lang w:val="en-US" w:eastAsia="zh-CN"/>
        </w:rPr>
        <w:t>挂职干部、驻村干部、对口支援、对口帮扶、援外、援彝、援藏、柔性引才专家</w:t>
      </w:r>
      <w:r>
        <w:rPr>
          <w:rFonts w:hint="eastAsia" w:ascii="宋体" w:hAnsi="宋体" w:eastAsia="宋体" w:cs="宋体"/>
          <w:kern w:val="0"/>
          <w:sz w:val="24"/>
          <w:szCs w:val="24"/>
          <w:lang w:val="en-US" w:eastAsia="zh-CN"/>
        </w:rPr>
        <w:t>120人/年）购买商业保险以提供社会保</w:t>
      </w:r>
      <w:r>
        <w:rPr>
          <w:rFonts w:hint="eastAsia" w:ascii="宋体" w:hAnsi="宋体" w:eastAsia="宋体" w:cs="宋体"/>
          <w:kern w:val="0"/>
          <w:sz w:val="24"/>
          <w:szCs w:val="24"/>
          <w:lang w:val="en-US" w:eastAsia="zh-CN"/>
        </w:rPr>
        <w:t>险外的补充保障，现对我院投保的商业保险投保公司及投保保费进行招标。</w:t>
      </w:r>
    </w:p>
    <w:p w14:paraId="3F65420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p>
    <w:p w14:paraId="7BE68807">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105CAE8D">
      <w:pPr>
        <w:keepNext w:val="0"/>
        <w:keepLines w:val="0"/>
        <w:pageBreakBefore w:val="0"/>
        <w:widowControl w:val="0"/>
        <w:numPr>
          <w:ilvl w:val="0"/>
          <w:numId w:val="19"/>
        </w:numPr>
        <w:kinsoku/>
        <w:wordWrap/>
        <w:overflowPunct/>
        <w:topLinePunct w:val="0"/>
        <w:autoSpaceDE/>
        <w:autoSpaceDN/>
        <w:bidi w:val="0"/>
        <w:adjustRightInd/>
        <w:snapToGrid/>
        <w:spacing w:line="300" w:lineRule="auto"/>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意外伤害险</w:t>
      </w:r>
    </w:p>
    <w:p w14:paraId="29B1761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承保公司保障范围（要求参数）：</w:t>
      </w:r>
    </w:p>
    <w:p w14:paraId="0B4FFBA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1、意外身故：被保险人自遭受该意外之日起一百八十日内以该意外为直接、完全原因而身故的，承保公司按本合同约定给付意外身故保险金10万元/100万元，意外伤害保险责任终止。</w:t>
      </w:r>
    </w:p>
    <w:p w14:paraId="3298EA2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意外伤残：被保险人自遭受该意外之日起一百八十日内以该意外为直接、完全原因而导致伤残的，承保公司按《人身保险伤残评定标准》中评定的伤残等级，按比例给付意外伤残保险金，伤残程度第一级对应的保险金给付比例为100%（10万元/100万元），伤残程度第十级对应的保险金给付比例为10%（1万元/10万元），每级相差10%。伤残鉴定在意外发生之日起第一百八十日内确定，如被保险人的伤残程度仍未完全确定，则根据该意外发生之日起第一百八十日被保险人身体情况进行伤残鉴定，并据此给付意外伤残保险金。</w:t>
      </w:r>
    </w:p>
    <w:p w14:paraId="5051C12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意外医疗：门（急）诊：免赔0元，医保报销目录内赔付比例为100%，最高报销额1万元/10万元；住院：医保报销目录内（不含医保已报销部分）赔付比例100%，最高报销额1万元/10万元，同时可享受住院贴，住院津贴免赔天数为0天，每日津贴100元（保额10万/年）/150元（保额100万/年），最长不超过180天。</w:t>
      </w:r>
    </w:p>
    <w:p w14:paraId="50CE8A0B">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二、重大疾病险</w:t>
      </w:r>
    </w:p>
    <w:p w14:paraId="1A30D5C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承保公司保障范围（要求参数）：</w:t>
      </w:r>
    </w:p>
    <w:p w14:paraId="5A43C02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重大疾病（共38种）具体包括：（一）恶性肿瘤—重度；（二）较重急性心肌梗死；（三）严重脑中风后遗症；（四）重大器官移植术或造血干细胞移植术；（五）冠状动脉搭桥术（或称冠状动脉旁路移植术）；（六）严重慢性肾衰竭；（七）多个肢体缺失；（八）急性重症肝炎或亚急性重症肝炎；（九）严重非恶性颅内肿瘤；（十）严重慢性肝衰竭；（十一）严重脑炎后遗症或严重脑膜炎后遗症；（十二）深度昏迷；（十三）双耳失聪；（十四）双目失明；（十五）瘫痪；（十六）心脏瓣膜手术；（十七）严重阿尔茨海默病；（十八）严重脑损伤；（十九）严重原发性帕金森病；（二十）严重Ⅲ度烧伤；（二十一）严重特发性肺动脉高压；（二十二）严重运动神经元病；（二十三）语言能力丧失；（二十四）重型再生障碍性贫血；（二十五）主动脉手术；（二十六）严重慢性呼吸衰竭；（二十七）严重克罗恩病；（二十八）严重溃疡性结肠炎；（二十九）严重多发性硬化症；（三十）严重系统性红斑狼疮较重狼疮性肾炎；（三十一）脊髓灰质炎后遗症；（三十二）I型糖尿病；（三十三）严重肌营养不良症；（三十四）急性出血性坏死性胰腺炎开腹手术；（三十五）侵蚀性葡萄胎（恶性葡萄胎）；（三十六）严重心肌病；（三十七）植物人状态；（三十八）肾髓质囊性病。</w:t>
      </w:r>
    </w:p>
    <w:p w14:paraId="2DFF6BD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2、在保险期间内，被保险人被确诊为以上重大疾病，承保公司一次性赔付10万元。</w:t>
      </w:r>
    </w:p>
    <w:p w14:paraId="075576E7">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三、雇主责任险</w:t>
      </w:r>
    </w:p>
    <w:p w14:paraId="2CFB494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承保公司保障范围（要求参数）：1、在保险期间内，投保人的投保雇员在受雇过程中（包括上下班途中）因从事被保险人的业务工作而遭受意外伤害或罹患国家规定的职业性疾病所致伤残或死亡，依照中华人民共和国法律（不包括港澳台地区法律，下同）应由投保人承担的经济赔偿责任的，承保公司按照本保险合同约定负责赔偿。</w:t>
      </w:r>
    </w:p>
    <w:p w14:paraId="06F75FDC">
      <w:pPr>
        <w:keepNext w:val="0"/>
        <w:keepLines w:val="0"/>
        <w:pageBreakBefore w:val="0"/>
        <w:widowControl w:val="0"/>
        <w:numPr>
          <w:ilvl w:val="0"/>
          <w:numId w:val="9"/>
        </w:numPr>
        <w:kinsoku/>
        <w:wordWrap/>
        <w:overflowPunct/>
        <w:topLinePunct w:val="0"/>
        <w:autoSpaceDE/>
        <w:autoSpaceDN/>
        <w:bidi w:val="0"/>
        <w:adjustRightInd/>
        <w:snapToGrid/>
        <w:spacing w:line="300" w:lineRule="auto"/>
        <w:ind w:left="570" w:leftChars="0" w:hanging="36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主险范围：</w:t>
      </w:r>
    </w:p>
    <w:p w14:paraId="549F5057">
      <w:pPr>
        <w:keepNext w:val="0"/>
        <w:keepLines w:val="0"/>
        <w:pageBreakBefore w:val="0"/>
        <w:widowControl w:val="0"/>
        <w:numPr>
          <w:numId w:val="0"/>
        </w:numPr>
        <w:kinsoku/>
        <w:wordWrap/>
        <w:overflowPunct/>
        <w:topLinePunct w:val="0"/>
        <w:autoSpaceDE/>
        <w:autoSpaceDN/>
        <w:bidi w:val="0"/>
        <w:adjustRightInd/>
        <w:snapToGrid/>
        <w:spacing w:line="300" w:lineRule="auto"/>
        <w:ind w:left="210" w:leftChars="0" w:firstLine="240" w:firstLineChars="1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（一）在工作时间和工作场所内，因工作原因受到事故伤害；</w:t>
      </w:r>
    </w:p>
    <w:p w14:paraId="6D81678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（二）工作时间前后在工作场所内，从事与工作有关的预备性或者收尾性工作受到事故伤害；</w:t>
      </w:r>
    </w:p>
    <w:p w14:paraId="093F1D7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（三）在工作时间和工作场所内，因履行工作职责受到暴力等意外伤害；</w:t>
      </w:r>
    </w:p>
    <w:p w14:paraId="6E21F01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（四）因工外出期间，由于工作原因受到伤害或者发生事故下落不明；</w:t>
      </w:r>
    </w:p>
    <w:p w14:paraId="2E99C2C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（五）在上下班途中，受到非本人主要责任的交通事故或者城市轨道交通、客运轮渡、火车事故伤害；</w:t>
      </w:r>
    </w:p>
    <w:p w14:paraId="539062E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（六）在工作时间和工作岗位，突发疾病死亡或者在48小时之内经抢救无效死亡；</w:t>
      </w:r>
    </w:p>
    <w:p w14:paraId="32BBF5F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（七）在抢险救灾等维护国家利益、公共利益活动中受到伤害；</w:t>
      </w:r>
    </w:p>
    <w:p w14:paraId="40CAC1F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（八）原在军队服役，因战、因公负伤致残，已取得革命伤残军人证，到用人单位后旧伤复发；</w:t>
      </w:r>
    </w:p>
    <w:p w14:paraId="3573002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（九）法律、行政法规规定应当认定为工伤的其他情形。</w:t>
      </w:r>
    </w:p>
    <w:p w14:paraId="56AD06A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3、附加险：</w:t>
      </w:r>
    </w:p>
    <w:p w14:paraId="3E62DEC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（1）附加全天24小时保障；</w:t>
      </w:r>
    </w:p>
    <w:p w14:paraId="78CCBCE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（2）附加意外事故导致负伤、残疾或死亡；</w:t>
      </w:r>
    </w:p>
    <w:p w14:paraId="52960C1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（3）附加突发疾病身故、传染病身故。</w:t>
      </w:r>
    </w:p>
    <w:p w14:paraId="5070FD1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4、投保雇员</w:t>
      </w:r>
    </w:p>
    <w:p w14:paraId="636254D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（1）身故：承保公司按本合同约定给付身故保险金100万元/200万元，保险责任终止。</w:t>
      </w:r>
    </w:p>
    <w:p w14:paraId="0D17C45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伤残：承保公司按《人身保险伤残评定标准》中评定的伤残等级，按比例给付意外伤残保险金，伤残程度第一级对应的保险金给付比例为100%（100万元/200万元），伤残程度第十级对应的保险金给付比例为10%（10万元/20万元），每级相差10%。伤残鉴定在事故发生之日起第一百八十日内确定，如被保险人的伤残程度仍未完全确定，则根据该事故发生之日起第一百八十日被保险人身体情况进行伤残鉴定，并据此给付意外伤残保险金。</w:t>
      </w:r>
    </w:p>
    <w:p w14:paraId="0270941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医疗：门（急）诊：免赔0元，医保报销目录内赔付比例为100%，最高报销额10万元/20万元（含国（境）外医疗费用）；住院：医保报销目录内赔付比例100%（不含医保已报销部分），最高报销额10万元/20万元（含国（境）外医疗费用），同时可享受住院津贴（含国（境）外住院），住院津贴免赔天数为0天，每日津贴150元，最长不超过180天。</w:t>
      </w:r>
    </w:p>
    <w:p w14:paraId="5377770D">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四、各类保险预算控制单价及权重值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1126"/>
        <w:gridCol w:w="1448"/>
        <w:gridCol w:w="1519"/>
        <w:gridCol w:w="1968"/>
      </w:tblGrid>
      <w:tr w14:paraId="1342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978" w:type="dxa"/>
            <w:vAlign w:val="center"/>
          </w:tcPr>
          <w:p w14:paraId="5935D3E8">
            <w:pPr>
              <w:numPr>
                <w:ilvl w:val="0"/>
                <w:numId w:val="0"/>
              </w:numPr>
              <w:spacing w:line="24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投保险种</w:t>
            </w:r>
          </w:p>
        </w:tc>
        <w:tc>
          <w:tcPr>
            <w:tcW w:w="1126" w:type="dxa"/>
            <w:vAlign w:val="center"/>
          </w:tcPr>
          <w:p w14:paraId="43FE496C">
            <w:pPr>
              <w:numPr>
                <w:ilvl w:val="0"/>
                <w:numId w:val="0"/>
              </w:numPr>
              <w:spacing w:line="240" w:lineRule="auto"/>
              <w:jc w:val="center"/>
              <w:rPr>
                <w:rFonts w:hint="eastAsia"/>
                <w:b w:val="0"/>
                <w:bCs w:val="0"/>
                <w:kern w:val="0"/>
                <w:sz w:val="24"/>
                <w:szCs w:val="24"/>
                <w:vertAlign w:val="baseline"/>
                <w:lang w:val="en-US" w:eastAsia="zh-CN"/>
              </w:rPr>
            </w:pPr>
            <w:r>
              <w:rPr>
                <w:rFonts w:ascii="Segoe UI" w:hAnsi="Segoe UI" w:eastAsia="Segoe UI" w:cs="Segoe UI"/>
                <w:b w:val="0"/>
                <w:bCs w:val="0"/>
                <w:i w:val="0"/>
                <w:iCs w:val="0"/>
                <w:caps w:val="0"/>
                <w:spacing w:val="6"/>
                <w:sz w:val="16"/>
                <w:szCs w:val="16"/>
                <w:shd w:val="clear" w:fill="FFFFFF"/>
              </w:rPr>
              <w:t>保额(万元</w:t>
            </w:r>
            <w:r>
              <w:rPr>
                <w:rFonts w:hint="eastAsia" w:ascii="Segoe UI" w:hAnsi="Segoe UI" w:eastAsia="宋体" w:cs="Segoe UI"/>
                <w:b w:val="0"/>
                <w:bCs w:val="0"/>
                <w:i w:val="0"/>
                <w:iCs w:val="0"/>
                <w:caps w:val="0"/>
                <w:spacing w:val="6"/>
                <w:sz w:val="16"/>
                <w:szCs w:val="16"/>
                <w:shd w:val="clear" w:fill="FFFFFF"/>
                <w:lang w:val="en-US" w:eastAsia="zh-CN"/>
              </w:rPr>
              <w:t>/年</w:t>
            </w:r>
            <w:r>
              <w:rPr>
                <w:rFonts w:ascii="Segoe UI" w:hAnsi="Segoe UI" w:eastAsia="Segoe UI" w:cs="Segoe UI"/>
                <w:b w:val="0"/>
                <w:bCs w:val="0"/>
                <w:i w:val="0"/>
                <w:iCs w:val="0"/>
                <w:caps w:val="0"/>
                <w:spacing w:val="6"/>
                <w:sz w:val="16"/>
                <w:szCs w:val="16"/>
                <w:shd w:val="clear" w:fill="FFFFFF"/>
              </w:rPr>
              <w:t>)</w:t>
            </w:r>
          </w:p>
        </w:tc>
        <w:tc>
          <w:tcPr>
            <w:tcW w:w="1448" w:type="dxa"/>
            <w:vAlign w:val="center"/>
          </w:tcPr>
          <w:p w14:paraId="0F942724">
            <w:pPr>
              <w:numPr>
                <w:ilvl w:val="0"/>
                <w:numId w:val="0"/>
              </w:numPr>
              <w:spacing w:line="240" w:lineRule="auto"/>
              <w:jc w:val="center"/>
              <w:rPr>
                <w:rFonts w:hint="eastAsia"/>
                <w:b w:val="0"/>
                <w:bCs w:val="0"/>
                <w:kern w:val="0"/>
                <w:sz w:val="24"/>
                <w:szCs w:val="24"/>
                <w:vertAlign w:val="baseline"/>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拟投保人数（年）</w:t>
            </w:r>
          </w:p>
        </w:tc>
        <w:tc>
          <w:tcPr>
            <w:tcW w:w="1519" w:type="dxa"/>
            <w:vAlign w:val="center"/>
          </w:tcPr>
          <w:p w14:paraId="03FD10E7">
            <w:pPr>
              <w:numPr>
                <w:ilvl w:val="0"/>
                <w:numId w:val="0"/>
              </w:numPr>
              <w:spacing w:line="240" w:lineRule="auto"/>
              <w:jc w:val="center"/>
              <w:rPr>
                <w:rFonts w:hint="eastAsia" w:ascii="Segoe UI" w:hAnsi="Segoe UI" w:eastAsia="宋体" w:cs="Segoe UI"/>
                <w:b w:val="0"/>
                <w:bCs w:val="0"/>
                <w:i w:val="0"/>
                <w:iCs w:val="0"/>
                <w:caps w:val="0"/>
                <w:spacing w:val="6"/>
                <w:sz w:val="16"/>
                <w:szCs w:val="16"/>
                <w:shd w:val="clear" w:fill="FFFFFF"/>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预算控制</w:t>
            </w:r>
            <w:r>
              <w:rPr>
                <w:rFonts w:ascii="Segoe UI" w:hAnsi="Segoe UI" w:eastAsia="Segoe UI" w:cs="Segoe UI"/>
                <w:b w:val="0"/>
                <w:bCs w:val="0"/>
                <w:i w:val="0"/>
                <w:iCs w:val="0"/>
                <w:caps w:val="0"/>
                <w:spacing w:val="6"/>
                <w:sz w:val="16"/>
                <w:szCs w:val="16"/>
                <w:shd w:val="clear" w:fill="FFFFFF"/>
              </w:rPr>
              <w:t>单价(元)</w:t>
            </w:r>
          </w:p>
        </w:tc>
        <w:tc>
          <w:tcPr>
            <w:tcW w:w="1968" w:type="dxa"/>
            <w:vAlign w:val="center"/>
          </w:tcPr>
          <w:p w14:paraId="2E2A2625">
            <w:pPr>
              <w:numPr>
                <w:ilvl w:val="0"/>
                <w:numId w:val="0"/>
              </w:numPr>
              <w:spacing w:line="240" w:lineRule="auto"/>
              <w:jc w:val="center"/>
              <w:rPr>
                <w:rFonts w:hint="default" w:ascii="Segoe UI" w:hAnsi="Segoe UI" w:eastAsia="宋体" w:cs="Segoe UI"/>
                <w:b w:val="0"/>
                <w:bCs w:val="0"/>
                <w:i w:val="0"/>
                <w:iCs w:val="0"/>
                <w:caps w:val="0"/>
                <w:spacing w:val="6"/>
                <w:sz w:val="16"/>
                <w:szCs w:val="16"/>
                <w:shd w:val="clear" w:fill="FFFFFF"/>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基于成本和风险的综合权重值</w:t>
            </w:r>
          </w:p>
        </w:tc>
      </w:tr>
      <w:tr w14:paraId="3788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8" w:type="dxa"/>
            <w:vAlign w:val="center"/>
          </w:tcPr>
          <w:p w14:paraId="406A482C">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意外伤害险</w:t>
            </w:r>
          </w:p>
        </w:tc>
        <w:tc>
          <w:tcPr>
            <w:tcW w:w="1126" w:type="dxa"/>
            <w:vAlign w:val="center"/>
          </w:tcPr>
          <w:p w14:paraId="6A4F0B71">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w:t>
            </w:r>
          </w:p>
        </w:tc>
        <w:tc>
          <w:tcPr>
            <w:tcW w:w="1448" w:type="dxa"/>
            <w:vAlign w:val="center"/>
          </w:tcPr>
          <w:p w14:paraId="57883614">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约80人</w:t>
            </w:r>
          </w:p>
        </w:tc>
        <w:tc>
          <w:tcPr>
            <w:tcW w:w="1519" w:type="dxa"/>
            <w:vAlign w:val="center"/>
          </w:tcPr>
          <w:p w14:paraId="72637B4E">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80</w:t>
            </w:r>
          </w:p>
        </w:tc>
        <w:tc>
          <w:tcPr>
            <w:tcW w:w="1968" w:type="dxa"/>
            <w:vAlign w:val="center"/>
          </w:tcPr>
          <w:p w14:paraId="6CAB1835">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9%</w:t>
            </w:r>
          </w:p>
        </w:tc>
      </w:tr>
      <w:tr w14:paraId="1B89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8" w:type="dxa"/>
            <w:vAlign w:val="center"/>
          </w:tcPr>
          <w:p w14:paraId="69F233DB">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意外伤害险</w:t>
            </w:r>
          </w:p>
        </w:tc>
        <w:tc>
          <w:tcPr>
            <w:tcW w:w="1126" w:type="dxa"/>
            <w:vAlign w:val="center"/>
          </w:tcPr>
          <w:p w14:paraId="542CB624">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100</w:t>
            </w:r>
          </w:p>
        </w:tc>
        <w:tc>
          <w:tcPr>
            <w:tcW w:w="1448" w:type="dxa"/>
            <w:vAlign w:val="center"/>
          </w:tcPr>
          <w:p w14:paraId="09C77CFD">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约80人</w:t>
            </w:r>
          </w:p>
        </w:tc>
        <w:tc>
          <w:tcPr>
            <w:tcW w:w="1519" w:type="dxa"/>
            <w:vAlign w:val="center"/>
          </w:tcPr>
          <w:p w14:paraId="1F86B670">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650</w:t>
            </w:r>
          </w:p>
        </w:tc>
        <w:tc>
          <w:tcPr>
            <w:tcW w:w="1968" w:type="dxa"/>
            <w:vAlign w:val="center"/>
          </w:tcPr>
          <w:p w14:paraId="7C35659F">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77%</w:t>
            </w:r>
          </w:p>
        </w:tc>
      </w:tr>
      <w:tr w14:paraId="4718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8" w:type="dxa"/>
            <w:vAlign w:val="center"/>
          </w:tcPr>
          <w:p w14:paraId="340437DA">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重大疾病险</w:t>
            </w:r>
          </w:p>
        </w:tc>
        <w:tc>
          <w:tcPr>
            <w:tcW w:w="1126" w:type="dxa"/>
            <w:vAlign w:val="center"/>
          </w:tcPr>
          <w:p w14:paraId="073BD1DE">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w:t>
            </w:r>
          </w:p>
        </w:tc>
        <w:tc>
          <w:tcPr>
            <w:tcW w:w="1448" w:type="dxa"/>
            <w:vAlign w:val="center"/>
          </w:tcPr>
          <w:p w14:paraId="5C5754CD">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10人以内</w:t>
            </w:r>
          </w:p>
        </w:tc>
        <w:tc>
          <w:tcPr>
            <w:tcW w:w="1519" w:type="dxa"/>
            <w:vAlign w:val="center"/>
          </w:tcPr>
          <w:p w14:paraId="7FC5F70F">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700</w:t>
            </w:r>
          </w:p>
        </w:tc>
        <w:tc>
          <w:tcPr>
            <w:tcW w:w="1968" w:type="dxa"/>
            <w:vAlign w:val="center"/>
          </w:tcPr>
          <w:p w14:paraId="5D7179F7">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4%</w:t>
            </w:r>
          </w:p>
        </w:tc>
      </w:tr>
      <w:tr w14:paraId="1F12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8" w:type="dxa"/>
            <w:vAlign w:val="center"/>
          </w:tcPr>
          <w:p w14:paraId="6F2CF32F">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雇主责任险（国内）</w:t>
            </w:r>
          </w:p>
        </w:tc>
        <w:tc>
          <w:tcPr>
            <w:tcW w:w="1126" w:type="dxa"/>
            <w:vAlign w:val="center"/>
          </w:tcPr>
          <w:p w14:paraId="07B06534">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100</w:t>
            </w:r>
          </w:p>
        </w:tc>
        <w:tc>
          <w:tcPr>
            <w:tcW w:w="1448" w:type="dxa"/>
            <w:vAlign w:val="center"/>
          </w:tcPr>
          <w:p w14:paraId="0FEAC032">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约5人</w:t>
            </w:r>
          </w:p>
        </w:tc>
        <w:tc>
          <w:tcPr>
            <w:tcW w:w="1519" w:type="dxa"/>
            <w:vAlign w:val="center"/>
          </w:tcPr>
          <w:p w14:paraId="1C1A430E">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850</w:t>
            </w:r>
          </w:p>
        </w:tc>
        <w:tc>
          <w:tcPr>
            <w:tcW w:w="1968" w:type="dxa"/>
            <w:vAlign w:val="center"/>
          </w:tcPr>
          <w:p w14:paraId="053D2E1D">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5%</w:t>
            </w:r>
          </w:p>
        </w:tc>
      </w:tr>
      <w:tr w14:paraId="4DA2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78" w:type="dxa"/>
            <w:vAlign w:val="center"/>
          </w:tcPr>
          <w:p w14:paraId="5087F2D0">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雇主责任险（国（境）外）</w:t>
            </w:r>
          </w:p>
        </w:tc>
        <w:tc>
          <w:tcPr>
            <w:tcW w:w="1126" w:type="dxa"/>
            <w:vAlign w:val="center"/>
          </w:tcPr>
          <w:p w14:paraId="2CD24ED6">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200</w:t>
            </w:r>
          </w:p>
        </w:tc>
        <w:tc>
          <w:tcPr>
            <w:tcW w:w="1448" w:type="dxa"/>
            <w:vAlign w:val="center"/>
          </w:tcPr>
          <w:p w14:paraId="240AAC53">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1-2人</w:t>
            </w:r>
          </w:p>
        </w:tc>
        <w:tc>
          <w:tcPr>
            <w:tcW w:w="1519" w:type="dxa"/>
            <w:vAlign w:val="center"/>
          </w:tcPr>
          <w:p w14:paraId="1A983B08">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4500</w:t>
            </w:r>
          </w:p>
        </w:tc>
        <w:tc>
          <w:tcPr>
            <w:tcW w:w="1968" w:type="dxa"/>
            <w:vAlign w:val="center"/>
          </w:tcPr>
          <w:p w14:paraId="2FB8A679">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5%</w:t>
            </w:r>
          </w:p>
        </w:tc>
      </w:tr>
      <w:tr w14:paraId="1A1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978" w:type="dxa"/>
            <w:vAlign w:val="center"/>
          </w:tcPr>
          <w:p w14:paraId="610F54FA">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合计</w:t>
            </w:r>
          </w:p>
        </w:tc>
        <w:tc>
          <w:tcPr>
            <w:tcW w:w="1126" w:type="dxa"/>
            <w:vAlign w:val="center"/>
          </w:tcPr>
          <w:p w14:paraId="1CF94724">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w:t>
            </w:r>
          </w:p>
        </w:tc>
        <w:tc>
          <w:tcPr>
            <w:tcW w:w="1448" w:type="dxa"/>
            <w:vAlign w:val="center"/>
          </w:tcPr>
          <w:p w14:paraId="4B8F74B4">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约180人</w:t>
            </w:r>
          </w:p>
        </w:tc>
        <w:tc>
          <w:tcPr>
            <w:tcW w:w="1519" w:type="dxa"/>
            <w:vAlign w:val="center"/>
          </w:tcPr>
          <w:p w14:paraId="33CB1443">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约80000</w:t>
            </w:r>
          </w:p>
        </w:tc>
        <w:tc>
          <w:tcPr>
            <w:tcW w:w="1968" w:type="dxa"/>
            <w:vAlign w:val="center"/>
          </w:tcPr>
          <w:p w14:paraId="1F7264C1">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100%</w:t>
            </w:r>
          </w:p>
        </w:tc>
      </w:tr>
    </w:tbl>
    <w:p w14:paraId="6005BBD3">
      <w:pPr>
        <w:numPr>
          <w:ilvl w:val="0"/>
          <w:numId w:val="0"/>
        </w:numPr>
        <w:spacing w:after="317" w:afterLines="100"/>
        <w:outlineLvl w:val="1"/>
        <w:rPr>
          <w:rFonts w:hint="eastAsia" w:ascii="仿宋" w:hAnsi="仿宋" w:eastAsia="仿宋" w:cs="仿宋"/>
          <w:b/>
          <w:bCs/>
          <w:sz w:val="24"/>
          <w:szCs w:val="24"/>
        </w:rPr>
      </w:pPr>
    </w:p>
    <w:p w14:paraId="01A05C9E">
      <w:pPr>
        <w:numPr>
          <w:ilvl w:val="0"/>
          <w:numId w:val="0"/>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C34F82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kern w:val="0"/>
          <w:sz w:val="24"/>
          <w:szCs w:val="24"/>
          <w:lang w:val="en-US" w:eastAsia="zh-CN"/>
        </w:rPr>
      </w:pPr>
      <w:r>
        <w:rPr>
          <w:rFonts w:hint="eastAsia"/>
          <w:kern w:val="0"/>
          <w:sz w:val="24"/>
          <w:szCs w:val="24"/>
          <w:lang w:val="en-US" w:eastAsia="zh-CN"/>
        </w:rPr>
        <w:t>1、招采各类投保险种保费单价，预算总金额不超过80000元/年。</w:t>
      </w:r>
    </w:p>
    <w:p w14:paraId="08E160B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eastAsiaTheme="minorEastAsia"/>
          <w:kern w:val="0"/>
          <w:sz w:val="24"/>
          <w:szCs w:val="24"/>
          <w:lang w:val="en-US" w:eastAsia="zh-CN"/>
        </w:rPr>
      </w:pPr>
      <w:r>
        <w:rPr>
          <w:rFonts w:hint="eastAsia"/>
          <w:kern w:val="0"/>
          <w:sz w:val="24"/>
          <w:szCs w:val="24"/>
          <w:lang w:val="en-US" w:eastAsia="zh-CN"/>
        </w:rPr>
        <w:t>2、</w:t>
      </w:r>
      <w:r>
        <w:rPr>
          <w:rFonts w:hint="eastAsia"/>
          <w:kern w:val="0"/>
          <w:sz w:val="24"/>
          <w:szCs w:val="24"/>
        </w:rPr>
        <w:t>确认</w:t>
      </w:r>
      <w:r>
        <w:rPr>
          <w:kern w:val="0"/>
          <w:sz w:val="24"/>
          <w:szCs w:val="24"/>
        </w:rPr>
        <w:t>投保后</w:t>
      </w:r>
      <w:r>
        <w:rPr>
          <w:rFonts w:hint="eastAsia"/>
          <w:kern w:val="0"/>
          <w:sz w:val="24"/>
          <w:szCs w:val="24"/>
          <w:lang w:val="en-US" w:eastAsia="zh-CN"/>
        </w:rPr>
        <w:t>7</w:t>
      </w:r>
      <w:r>
        <w:rPr>
          <w:rFonts w:hint="eastAsia"/>
          <w:kern w:val="0"/>
          <w:sz w:val="24"/>
          <w:szCs w:val="24"/>
        </w:rPr>
        <w:t>日内</w:t>
      </w:r>
      <w:r>
        <w:rPr>
          <w:rFonts w:hint="eastAsia"/>
          <w:kern w:val="0"/>
          <w:sz w:val="24"/>
          <w:szCs w:val="24"/>
          <w:lang w:val="en-US" w:eastAsia="zh-CN"/>
        </w:rPr>
        <w:t>通过医院财务对公转账</w:t>
      </w:r>
      <w:r>
        <w:rPr>
          <w:rFonts w:hint="eastAsia"/>
          <w:kern w:val="0"/>
          <w:sz w:val="24"/>
          <w:szCs w:val="24"/>
        </w:rPr>
        <w:t>付款</w:t>
      </w:r>
      <w:r>
        <w:rPr>
          <w:rFonts w:hint="eastAsia"/>
          <w:kern w:val="0"/>
          <w:sz w:val="24"/>
          <w:szCs w:val="24"/>
          <w:lang w:eastAsia="zh-CN"/>
        </w:rPr>
        <w:t>。</w:t>
      </w:r>
    </w:p>
    <w:p w14:paraId="7E01402C">
      <w:pPr>
        <w:pStyle w:val="17"/>
        <w:ind w:firstLine="0"/>
        <w:rPr>
          <w:rFonts w:hint="eastAsia"/>
          <w:kern w:val="0"/>
          <w:sz w:val="24"/>
          <w:szCs w:val="24"/>
          <w:lang w:eastAsia="zh-CN"/>
        </w:rPr>
      </w:pPr>
      <w:r>
        <w:rPr>
          <w:rFonts w:hint="eastAsia"/>
          <w:kern w:val="0"/>
          <w:sz w:val="24"/>
          <w:szCs w:val="24"/>
          <w:lang w:val="en-US" w:eastAsia="zh-CN"/>
        </w:rPr>
        <w:t>3、</w:t>
      </w:r>
      <w:r>
        <w:rPr>
          <w:rFonts w:hint="eastAsia" w:asciiTheme="minorHAnsi" w:hAnsiTheme="minorHAnsi" w:eastAsiaTheme="minorEastAsia" w:cstheme="minorBidi"/>
          <w:kern w:val="0"/>
          <w:sz w:val="24"/>
          <w:szCs w:val="24"/>
          <w:lang w:val="en-US" w:eastAsia="zh-CN" w:bidi="ar-SA"/>
        </w:rPr>
        <w:t>合同期三年。</w:t>
      </w: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p>
    <w:p w14:paraId="4A80F053">
      <w:pPr>
        <w:pStyle w:val="2"/>
        <w:numPr>
          <w:ilvl w:val="0"/>
          <w:numId w:val="0"/>
        </w:numPr>
        <w:ind w:left="402"/>
      </w:pPr>
      <w:bookmarkStart w:id="10" w:name="_Toc22827"/>
      <w:bookmarkStart w:id="11" w:name="_Toc16344"/>
      <w:bookmarkStart w:id="12" w:name="_Toc3094"/>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32352"/>
      <w:bookmarkStart w:id="20" w:name="_Toc9041"/>
      <w:bookmarkStart w:id="21" w:name="_Toc1544"/>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4097"/>
      <w:bookmarkStart w:id="23" w:name="_Toc21472"/>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17163"/>
      <w:bookmarkStart w:id="25" w:name="_Toc1690"/>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3558"/>
      <w:bookmarkStart w:id="29" w:name="_Toc6803"/>
      <w:bookmarkStart w:id="30" w:name="_Toc2412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989"/>
      <w:bookmarkStart w:id="33" w:name="_Toc27526"/>
      <w:bookmarkStart w:id="34" w:name="_Toc27135"/>
      <w:bookmarkStart w:id="35" w:name="_Toc5996"/>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21519"/>
      <w:bookmarkStart w:id="41" w:name="_Toc14829"/>
      <w:bookmarkStart w:id="42" w:name="_Toc11352"/>
      <w:bookmarkStart w:id="43" w:name="_Toc16029"/>
      <w:bookmarkStart w:id="44" w:name="_Toc3023"/>
      <w:bookmarkStart w:id="45" w:name="_Toc6482"/>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3"/>
        <w:ind w:firstLine="0"/>
      </w:pPr>
      <w:r>
        <w:rPr>
          <w:rFonts w:hint="eastAsia"/>
        </w:rPr>
        <w:t>承诺函</w:t>
      </w:r>
      <w:bookmarkEnd w:id="40"/>
      <w:bookmarkEnd w:id="41"/>
      <w:bookmarkEnd w:id="42"/>
      <w:bookmarkEnd w:id="43"/>
      <w:bookmarkEnd w:id="44"/>
      <w:bookmarkEnd w:id="45"/>
    </w:p>
    <w:p w14:paraId="5C57FE19">
      <w:pPr>
        <w:pStyle w:val="7"/>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7"/>
        <w:jc w:val="left"/>
        <w:rPr>
          <w:rFonts w:ascii="仿宋" w:hAnsi="仿宋" w:eastAsia="仿宋" w:cs="仿宋"/>
          <w:sz w:val="24"/>
        </w:rPr>
      </w:pPr>
      <w:r>
        <w:rPr>
          <w:rFonts w:hint="eastAsia" w:ascii="仿宋" w:hAnsi="仿宋" w:eastAsia="仿宋" w:cs="仿宋"/>
          <w:bCs/>
          <w:sz w:val="24"/>
        </w:rPr>
        <w:t>时间：</w:t>
      </w:r>
    </w:p>
    <w:p w14:paraId="0C21B068">
      <w:bookmarkStart w:id="46" w:name="_Toc31838"/>
      <w:bookmarkStart w:id="47" w:name="_Toc22676"/>
      <w:bookmarkStart w:id="48" w:name="_Toc17857"/>
      <w:bookmarkStart w:id="49" w:name="_Toc4305"/>
      <w:bookmarkStart w:id="50" w:name="_Toc30971"/>
      <w:r>
        <w:rPr>
          <w:rFonts w:hint="eastAsia"/>
        </w:rPr>
        <w:br w:type="page"/>
      </w:r>
    </w:p>
    <w:p w14:paraId="6576E327">
      <w:pPr>
        <w:pStyle w:val="3"/>
        <w:ind w:left="-1" w:firstLine="0"/>
      </w:pPr>
      <w:r>
        <w:rPr>
          <w:rFonts w:hint="eastAsia"/>
        </w:rPr>
        <w:t>具有独立承担民事责任的能力</w:t>
      </w:r>
      <w:bookmarkEnd w:id="46"/>
      <w:bookmarkEnd w:id="47"/>
      <w:bookmarkEnd w:id="48"/>
      <w:bookmarkEnd w:id="49"/>
      <w:bookmarkEnd w:id="50"/>
    </w:p>
    <w:p w14:paraId="55AE8E40">
      <w:pPr>
        <w:pStyle w:val="7"/>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3"/>
        <w:ind w:firstLine="0"/>
        <w:rPr>
          <w:rStyle w:val="32"/>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5772BECF">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7"/>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11351"/>
      <w:bookmarkStart w:id="62" w:name="_Toc20589"/>
      <w:bookmarkStart w:id="63" w:name="_Toc27661"/>
      <w:bookmarkStart w:id="64" w:name="_Toc15526"/>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7"/>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7"/>
        <w:snapToGrid w:val="0"/>
        <w:spacing w:after="0" w:line="500" w:lineRule="exact"/>
        <w:ind w:firstLine="480" w:firstLineChars="200"/>
        <w:rPr>
          <w:rFonts w:ascii="仿宋" w:hAnsi="仿宋" w:eastAsia="仿宋" w:cs="仿宋"/>
          <w:sz w:val="24"/>
        </w:rPr>
      </w:pPr>
    </w:p>
    <w:p w14:paraId="1D6F7AD1">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3"/>
        <w:ind w:firstLine="0"/>
        <w:rPr>
          <w:rStyle w:val="40"/>
          <w:rFonts w:ascii="仿宋" w:hAnsi="仿宋" w:cs="仿宋"/>
          <w:b/>
          <w:szCs w:val="32"/>
        </w:rPr>
      </w:pPr>
      <w:r>
        <w:rPr>
          <w:rFonts w:hint="eastAsia" w:ascii="仿宋" w:hAnsi="仿宋" w:cs="仿宋"/>
          <w:szCs w:val="32"/>
        </w:rPr>
        <w:br w:type="page"/>
      </w:r>
      <w:bookmarkStart w:id="65" w:name="_Toc2041"/>
      <w:bookmarkStart w:id="66" w:name="_Toc1074"/>
      <w:bookmarkStart w:id="67" w:name="_Toc16435"/>
      <w:bookmarkStart w:id="68" w:name="_Toc12967"/>
      <w:bookmarkStart w:id="69" w:name="_Toc26969"/>
      <w:bookmarkStart w:id="70" w:name="_Toc23967"/>
      <w:r>
        <w:rPr>
          <w:rStyle w:val="40"/>
          <w:rFonts w:hint="eastAsia"/>
          <w:b/>
        </w:rPr>
        <w:t>采购需求偏离表</w:t>
      </w:r>
      <w:bookmarkEnd w:id="65"/>
      <w:bookmarkEnd w:id="66"/>
      <w:bookmarkEnd w:id="67"/>
      <w:bookmarkEnd w:id="68"/>
      <w:bookmarkEnd w:id="69"/>
      <w:bookmarkEnd w:id="70"/>
    </w:p>
    <w:p w14:paraId="0E071324">
      <w:pPr>
        <w:pStyle w:val="3"/>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7"/>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3"/>
        <w:numPr>
          <w:ilvl w:val="0"/>
          <w:numId w:val="0"/>
        </w:numPr>
        <w:ind w:firstLine="3534" w:firstLineChars="1100"/>
        <w:jc w:val="both"/>
        <w:rPr>
          <w:rStyle w:val="40"/>
          <w:b/>
        </w:rPr>
      </w:pPr>
    </w:p>
    <w:p w14:paraId="0853D2E0">
      <w:pPr>
        <w:pStyle w:val="3"/>
        <w:numPr>
          <w:ilvl w:val="0"/>
          <w:numId w:val="0"/>
        </w:numPr>
        <w:ind w:firstLine="3534" w:firstLineChars="1100"/>
        <w:jc w:val="both"/>
        <w:rPr>
          <w:rStyle w:val="40"/>
          <w:b/>
        </w:rPr>
      </w:pPr>
    </w:p>
    <w:p w14:paraId="5014DB5C">
      <w:pPr>
        <w:pStyle w:val="3"/>
        <w:numPr>
          <w:ilvl w:val="0"/>
          <w:numId w:val="0"/>
        </w:numPr>
        <w:ind w:firstLine="3534" w:firstLineChars="1100"/>
        <w:jc w:val="both"/>
        <w:rPr>
          <w:rStyle w:val="40"/>
          <w:b/>
        </w:rPr>
      </w:pPr>
    </w:p>
    <w:p w14:paraId="64E90E23">
      <w:pPr>
        <w:pStyle w:val="3"/>
        <w:numPr>
          <w:ilvl w:val="0"/>
          <w:numId w:val="0"/>
        </w:numPr>
        <w:ind w:firstLine="3534" w:firstLineChars="1100"/>
        <w:jc w:val="both"/>
        <w:rPr>
          <w:rStyle w:val="40"/>
          <w:b/>
        </w:rPr>
      </w:pPr>
    </w:p>
    <w:p w14:paraId="1F217B45">
      <w:pPr>
        <w:pStyle w:val="3"/>
        <w:numPr>
          <w:ilvl w:val="0"/>
          <w:numId w:val="0"/>
        </w:numPr>
        <w:ind w:firstLine="3534" w:firstLineChars="1100"/>
        <w:jc w:val="both"/>
        <w:rPr>
          <w:rStyle w:val="40"/>
          <w:b/>
        </w:rPr>
      </w:pPr>
    </w:p>
    <w:p w14:paraId="356321DF">
      <w:pPr>
        <w:pStyle w:val="3"/>
        <w:numPr>
          <w:ilvl w:val="0"/>
          <w:numId w:val="0"/>
        </w:numPr>
        <w:ind w:firstLine="3534" w:firstLineChars="1100"/>
        <w:jc w:val="both"/>
        <w:rPr>
          <w:rStyle w:val="40"/>
          <w:b/>
        </w:rPr>
      </w:pPr>
    </w:p>
    <w:p w14:paraId="2331287A">
      <w:pPr>
        <w:pStyle w:val="3"/>
        <w:numPr>
          <w:ilvl w:val="0"/>
          <w:numId w:val="0"/>
        </w:numPr>
        <w:ind w:firstLine="3534" w:firstLineChars="1100"/>
        <w:jc w:val="both"/>
        <w:rPr>
          <w:rStyle w:val="40"/>
          <w:b/>
        </w:rPr>
      </w:pPr>
    </w:p>
    <w:p w14:paraId="0FBF74A4">
      <w:pPr>
        <w:pStyle w:val="3"/>
        <w:numPr>
          <w:ilvl w:val="0"/>
          <w:numId w:val="0"/>
        </w:numPr>
        <w:ind w:firstLine="3534" w:firstLineChars="1100"/>
        <w:jc w:val="both"/>
        <w:rPr>
          <w:rStyle w:val="40"/>
          <w:b/>
        </w:rPr>
      </w:pPr>
    </w:p>
    <w:p w14:paraId="209FEA47">
      <w:pPr>
        <w:pStyle w:val="3"/>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7"/>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3"/>
        <w:numPr>
          <w:ilvl w:val="0"/>
          <w:numId w:val="0"/>
        </w:numPr>
        <w:jc w:val="both"/>
        <w:rPr>
          <w:rFonts w:ascii="仿宋" w:hAnsi="仿宋" w:cs="仿宋"/>
          <w:bCs/>
          <w:szCs w:val="32"/>
        </w:rPr>
      </w:pPr>
      <w:bookmarkStart w:id="71" w:name="_Toc26839"/>
      <w:bookmarkStart w:id="72" w:name="_Toc31686"/>
      <w:bookmarkStart w:id="73" w:name="_Toc24806"/>
      <w:bookmarkStart w:id="74" w:name="_Toc21082"/>
      <w:bookmarkStart w:id="75" w:name="_Toc1369"/>
      <w:bookmarkStart w:id="76" w:name="_Toc28634"/>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24494"/>
      <w:bookmarkStart w:id="78" w:name="_Toc32605"/>
      <w:bookmarkStart w:id="79" w:name="_Toc3871"/>
    </w:p>
    <w:p w14:paraId="3299DA49">
      <w:pPr>
        <w:pStyle w:val="3"/>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30002"/>
      <w:bookmarkStart w:id="82" w:name="_Toc14685"/>
      <w:bookmarkStart w:id="83"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7"/>
        <w:rPr>
          <w:rFonts w:ascii="仿宋" w:hAnsi="仿宋" w:eastAsia="仿宋" w:cs="仿宋"/>
          <w:b/>
          <w:bCs/>
        </w:rPr>
      </w:pPr>
      <w:r>
        <w:rPr>
          <w:rFonts w:hint="eastAsia" w:ascii="仿宋" w:hAnsi="仿宋" w:eastAsia="仿宋" w:cs="仿宋"/>
          <w:b/>
          <w:bCs/>
        </w:rPr>
        <w:t>2.报价一览表</w:t>
      </w:r>
    </w:p>
    <w:tbl>
      <w:tblPr>
        <w:tblStyle w:val="20"/>
        <w:tblW w:w="991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790"/>
        <w:gridCol w:w="1824"/>
        <w:gridCol w:w="1824"/>
        <w:gridCol w:w="1824"/>
        <w:gridCol w:w="1824"/>
      </w:tblGrid>
      <w:tr w14:paraId="7492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31" w:type="dxa"/>
            <w:vAlign w:val="center"/>
          </w:tcPr>
          <w:p w14:paraId="09BEDAF5">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1790" w:type="dxa"/>
            <w:vAlign w:val="center"/>
          </w:tcPr>
          <w:p w14:paraId="727B6883">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1824" w:type="dxa"/>
            <w:vAlign w:val="center"/>
          </w:tcPr>
          <w:p w14:paraId="24BD6847">
            <w:pPr>
              <w:pStyle w:val="7"/>
              <w:jc w:val="center"/>
              <w:rPr>
                <w:rFonts w:hint="eastAsia" w:ascii="仿宋" w:hAnsi="仿宋" w:eastAsia="仿宋" w:cs="仿宋"/>
                <w:sz w:val="24"/>
                <w:szCs w:val="24"/>
              </w:rPr>
            </w:pPr>
            <w:r>
              <w:rPr>
                <w:rFonts w:hint="eastAsia" w:ascii="仿宋" w:hAnsi="仿宋" w:eastAsia="仿宋" w:cs="仿宋"/>
                <w:sz w:val="24"/>
                <w:szCs w:val="24"/>
                <w:lang w:val="en-US" w:eastAsia="zh-CN"/>
              </w:rPr>
              <w:t>限价单价</w:t>
            </w:r>
            <w:r>
              <w:rPr>
                <w:rFonts w:hint="eastAsia" w:ascii="仿宋" w:hAnsi="仿宋" w:eastAsia="仿宋" w:cs="仿宋"/>
                <w:kern w:val="0"/>
                <w:sz w:val="24"/>
                <w:szCs w:val="24"/>
                <w:lang w:val="zh-TW"/>
              </w:rPr>
              <w:t>（元）</w:t>
            </w:r>
          </w:p>
        </w:tc>
        <w:tc>
          <w:tcPr>
            <w:tcW w:w="1824" w:type="dxa"/>
            <w:vAlign w:val="center"/>
          </w:tcPr>
          <w:p w14:paraId="2A6D40C8">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报价单价（元）</w:t>
            </w:r>
          </w:p>
        </w:tc>
        <w:tc>
          <w:tcPr>
            <w:tcW w:w="1824" w:type="dxa"/>
            <w:vAlign w:val="center"/>
          </w:tcPr>
          <w:p w14:paraId="0D13C641">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权重值</w:t>
            </w:r>
          </w:p>
        </w:tc>
        <w:tc>
          <w:tcPr>
            <w:tcW w:w="1824" w:type="dxa"/>
            <w:vAlign w:val="center"/>
          </w:tcPr>
          <w:p w14:paraId="3E8024B6">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权重价格</w:t>
            </w:r>
          </w:p>
        </w:tc>
      </w:tr>
      <w:tr w14:paraId="512D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600B8F7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90" w:type="dxa"/>
            <w:vAlign w:val="center"/>
          </w:tcPr>
          <w:p w14:paraId="291A3713">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意外伤害险</w:t>
            </w:r>
          </w:p>
        </w:tc>
        <w:tc>
          <w:tcPr>
            <w:tcW w:w="1824" w:type="dxa"/>
            <w:vAlign w:val="center"/>
          </w:tcPr>
          <w:p w14:paraId="6D202F21">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1824" w:type="dxa"/>
            <w:vAlign w:val="center"/>
          </w:tcPr>
          <w:p w14:paraId="20615D59">
            <w:pPr>
              <w:pStyle w:val="7"/>
              <w:jc w:val="center"/>
              <w:rPr>
                <w:rFonts w:hint="eastAsia" w:ascii="仿宋" w:hAnsi="仿宋" w:eastAsia="仿宋" w:cs="仿宋"/>
                <w:sz w:val="24"/>
                <w:szCs w:val="24"/>
                <w:lang w:val="en-US" w:eastAsia="zh-CN"/>
              </w:rPr>
            </w:pPr>
          </w:p>
        </w:tc>
        <w:tc>
          <w:tcPr>
            <w:tcW w:w="1824" w:type="dxa"/>
            <w:vAlign w:val="center"/>
          </w:tcPr>
          <w:p w14:paraId="72AA294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824" w:type="dxa"/>
            <w:vAlign w:val="center"/>
          </w:tcPr>
          <w:p w14:paraId="4239EEA3">
            <w:pPr>
              <w:pStyle w:val="7"/>
              <w:jc w:val="center"/>
              <w:rPr>
                <w:rFonts w:hint="eastAsia" w:ascii="仿宋" w:hAnsi="仿宋" w:eastAsia="仿宋" w:cs="仿宋"/>
                <w:sz w:val="24"/>
                <w:szCs w:val="24"/>
                <w:lang w:val="en-US" w:eastAsia="zh-CN"/>
              </w:rPr>
            </w:pPr>
          </w:p>
        </w:tc>
      </w:tr>
      <w:tr w14:paraId="06C8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64AFC243">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90" w:type="dxa"/>
            <w:vAlign w:val="center"/>
          </w:tcPr>
          <w:p w14:paraId="33F8F23E">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意外伤害险</w:t>
            </w:r>
          </w:p>
        </w:tc>
        <w:tc>
          <w:tcPr>
            <w:tcW w:w="1824" w:type="dxa"/>
            <w:vAlign w:val="center"/>
          </w:tcPr>
          <w:p w14:paraId="13371AF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650</w:t>
            </w:r>
          </w:p>
        </w:tc>
        <w:tc>
          <w:tcPr>
            <w:tcW w:w="1824" w:type="dxa"/>
            <w:vAlign w:val="center"/>
          </w:tcPr>
          <w:p w14:paraId="15F2500F">
            <w:pPr>
              <w:pStyle w:val="7"/>
              <w:jc w:val="center"/>
              <w:rPr>
                <w:rFonts w:hint="eastAsia" w:ascii="仿宋" w:hAnsi="仿宋" w:eastAsia="仿宋" w:cs="仿宋"/>
                <w:sz w:val="24"/>
                <w:szCs w:val="24"/>
                <w:lang w:val="en-US" w:eastAsia="zh-CN"/>
              </w:rPr>
            </w:pPr>
          </w:p>
        </w:tc>
        <w:tc>
          <w:tcPr>
            <w:tcW w:w="1824" w:type="dxa"/>
            <w:vAlign w:val="center"/>
          </w:tcPr>
          <w:p w14:paraId="08AF8A1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77%</w:t>
            </w:r>
          </w:p>
        </w:tc>
        <w:tc>
          <w:tcPr>
            <w:tcW w:w="1824" w:type="dxa"/>
            <w:vAlign w:val="center"/>
          </w:tcPr>
          <w:p w14:paraId="6F916367">
            <w:pPr>
              <w:pStyle w:val="7"/>
              <w:jc w:val="center"/>
              <w:rPr>
                <w:rFonts w:hint="eastAsia" w:ascii="仿宋" w:hAnsi="仿宋" w:eastAsia="仿宋" w:cs="仿宋"/>
                <w:sz w:val="24"/>
                <w:szCs w:val="24"/>
                <w:lang w:val="en-US" w:eastAsia="zh-CN"/>
              </w:rPr>
            </w:pPr>
          </w:p>
        </w:tc>
      </w:tr>
      <w:tr w14:paraId="6FBA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6C937F54">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0" w:type="dxa"/>
            <w:vAlign w:val="center"/>
          </w:tcPr>
          <w:p w14:paraId="238BF541">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重大疾病险</w:t>
            </w:r>
          </w:p>
        </w:tc>
        <w:tc>
          <w:tcPr>
            <w:tcW w:w="1824" w:type="dxa"/>
            <w:vAlign w:val="center"/>
          </w:tcPr>
          <w:p w14:paraId="6D4F15C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700</w:t>
            </w:r>
          </w:p>
        </w:tc>
        <w:tc>
          <w:tcPr>
            <w:tcW w:w="1824" w:type="dxa"/>
            <w:vAlign w:val="center"/>
          </w:tcPr>
          <w:p w14:paraId="07D98653">
            <w:pPr>
              <w:pStyle w:val="7"/>
              <w:jc w:val="center"/>
              <w:rPr>
                <w:rFonts w:hint="eastAsia" w:ascii="仿宋" w:hAnsi="仿宋" w:eastAsia="仿宋" w:cs="仿宋"/>
                <w:sz w:val="24"/>
                <w:szCs w:val="24"/>
                <w:lang w:val="en-US" w:eastAsia="zh-CN"/>
              </w:rPr>
            </w:pPr>
          </w:p>
        </w:tc>
        <w:tc>
          <w:tcPr>
            <w:tcW w:w="1824" w:type="dxa"/>
            <w:vAlign w:val="center"/>
          </w:tcPr>
          <w:p w14:paraId="31315456">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824" w:type="dxa"/>
            <w:vAlign w:val="center"/>
          </w:tcPr>
          <w:p w14:paraId="1BA1D2B3">
            <w:pPr>
              <w:pStyle w:val="7"/>
              <w:jc w:val="center"/>
              <w:rPr>
                <w:rFonts w:hint="eastAsia" w:ascii="仿宋" w:hAnsi="仿宋" w:eastAsia="仿宋" w:cs="仿宋"/>
                <w:sz w:val="24"/>
                <w:szCs w:val="24"/>
                <w:lang w:val="en-US" w:eastAsia="zh-CN"/>
              </w:rPr>
            </w:pPr>
          </w:p>
        </w:tc>
      </w:tr>
      <w:tr w14:paraId="7CF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7B2C8B5F">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0" w:type="dxa"/>
            <w:vAlign w:val="center"/>
          </w:tcPr>
          <w:p w14:paraId="6D121B9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雇主责任险（国内）</w:t>
            </w:r>
          </w:p>
        </w:tc>
        <w:tc>
          <w:tcPr>
            <w:tcW w:w="1824" w:type="dxa"/>
            <w:vAlign w:val="center"/>
          </w:tcPr>
          <w:p w14:paraId="6B98B851">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850</w:t>
            </w:r>
          </w:p>
        </w:tc>
        <w:tc>
          <w:tcPr>
            <w:tcW w:w="1824" w:type="dxa"/>
            <w:vAlign w:val="center"/>
          </w:tcPr>
          <w:p w14:paraId="1B842009">
            <w:pPr>
              <w:pStyle w:val="7"/>
              <w:jc w:val="center"/>
              <w:rPr>
                <w:rFonts w:hint="eastAsia" w:ascii="仿宋" w:hAnsi="仿宋" w:eastAsia="仿宋" w:cs="仿宋"/>
                <w:sz w:val="24"/>
                <w:szCs w:val="24"/>
                <w:lang w:val="en-US" w:eastAsia="zh-CN"/>
              </w:rPr>
            </w:pPr>
          </w:p>
        </w:tc>
        <w:tc>
          <w:tcPr>
            <w:tcW w:w="1824" w:type="dxa"/>
            <w:vAlign w:val="center"/>
          </w:tcPr>
          <w:p w14:paraId="6BE8B382">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824" w:type="dxa"/>
            <w:vAlign w:val="center"/>
          </w:tcPr>
          <w:p w14:paraId="6BB353E4">
            <w:pPr>
              <w:pStyle w:val="7"/>
              <w:jc w:val="center"/>
              <w:rPr>
                <w:rFonts w:hint="eastAsia" w:ascii="仿宋" w:hAnsi="仿宋" w:eastAsia="仿宋" w:cs="仿宋"/>
                <w:sz w:val="24"/>
                <w:szCs w:val="24"/>
                <w:lang w:val="en-US" w:eastAsia="zh-CN"/>
              </w:rPr>
            </w:pPr>
          </w:p>
        </w:tc>
      </w:tr>
      <w:tr w14:paraId="40D1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31" w:type="dxa"/>
            <w:vAlign w:val="center"/>
          </w:tcPr>
          <w:p w14:paraId="421A1C8F">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0" w:type="dxa"/>
            <w:vAlign w:val="center"/>
          </w:tcPr>
          <w:p w14:paraId="0B88FA2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雇主责任险（国（境）外）</w:t>
            </w:r>
          </w:p>
        </w:tc>
        <w:tc>
          <w:tcPr>
            <w:tcW w:w="1824" w:type="dxa"/>
            <w:vAlign w:val="center"/>
          </w:tcPr>
          <w:p w14:paraId="69D44465">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4500</w:t>
            </w:r>
          </w:p>
        </w:tc>
        <w:tc>
          <w:tcPr>
            <w:tcW w:w="1824" w:type="dxa"/>
            <w:vAlign w:val="center"/>
          </w:tcPr>
          <w:p w14:paraId="2A4FDF5E">
            <w:pPr>
              <w:pStyle w:val="7"/>
              <w:jc w:val="center"/>
              <w:rPr>
                <w:rFonts w:hint="eastAsia" w:ascii="仿宋" w:hAnsi="仿宋" w:eastAsia="仿宋" w:cs="仿宋"/>
                <w:sz w:val="24"/>
                <w:szCs w:val="24"/>
                <w:lang w:val="en-US" w:eastAsia="zh-CN"/>
              </w:rPr>
            </w:pPr>
          </w:p>
        </w:tc>
        <w:tc>
          <w:tcPr>
            <w:tcW w:w="1824" w:type="dxa"/>
            <w:vAlign w:val="center"/>
          </w:tcPr>
          <w:p w14:paraId="474712B2">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824" w:type="dxa"/>
            <w:vAlign w:val="center"/>
          </w:tcPr>
          <w:p w14:paraId="7F91D9B2">
            <w:pPr>
              <w:pStyle w:val="7"/>
              <w:jc w:val="center"/>
              <w:rPr>
                <w:rFonts w:hint="eastAsia" w:ascii="仿宋" w:hAnsi="仿宋" w:eastAsia="仿宋" w:cs="仿宋"/>
                <w:sz w:val="24"/>
                <w:szCs w:val="24"/>
                <w:lang w:val="en-US" w:eastAsia="zh-CN"/>
              </w:rPr>
            </w:pPr>
          </w:p>
        </w:tc>
      </w:tr>
      <w:tr w14:paraId="662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31" w:type="dxa"/>
            <w:vAlign w:val="center"/>
          </w:tcPr>
          <w:p w14:paraId="180ACF86">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c>
          <w:tcPr>
            <w:tcW w:w="1790" w:type="dxa"/>
            <w:vAlign w:val="center"/>
          </w:tcPr>
          <w:p w14:paraId="3910998A">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24" w:type="dxa"/>
            <w:vAlign w:val="center"/>
          </w:tcPr>
          <w:p w14:paraId="1D55EC0C">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24" w:type="dxa"/>
            <w:vAlign w:val="center"/>
          </w:tcPr>
          <w:p w14:paraId="637113AD">
            <w:pPr>
              <w:pStyle w:val="7"/>
              <w:jc w:val="center"/>
              <w:rPr>
                <w:rFonts w:hint="eastAsia" w:ascii="仿宋" w:hAnsi="仿宋" w:eastAsia="仿宋" w:cs="仿宋"/>
                <w:sz w:val="24"/>
                <w:szCs w:val="24"/>
                <w:lang w:val="en-US" w:eastAsia="zh-CN"/>
              </w:rPr>
            </w:pPr>
          </w:p>
        </w:tc>
        <w:tc>
          <w:tcPr>
            <w:tcW w:w="1824" w:type="dxa"/>
            <w:vAlign w:val="center"/>
          </w:tcPr>
          <w:p w14:paraId="42A756E7">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24" w:type="dxa"/>
            <w:vAlign w:val="center"/>
          </w:tcPr>
          <w:p w14:paraId="6DBB31EA">
            <w:pPr>
              <w:pStyle w:val="7"/>
              <w:jc w:val="center"/>
              <w:rPr>
                <w:rFonts w:hint="eastAsia" w:ascii="仿宋" w:hAnsi="仿宋" w:eastAsia="仿宋" w:cs="仿宋"/>
                <w:sz w:val="24"/>
                <w:szCs w:val="24"/>
                <w:lang w:val="en-US" w:eastAsia="zh-CN"/>
              </w:rPr>
            </w:pPr>
          </w:p>
        </w:tc>
      </w:tr>
    </w:tbl>
    <w:p w14:paraId="75B01465">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7"/>
        <w:rPr>
          <w:rFonts w:ascii="仿宋" w:hAnsi="仿宋" w:eastAsia="仿宋" w:cs="仿宋"/>
          <w:lang w:val="zh-TW" w:eastAsia="zh-TW"/>
        </w:rPr>
      </w:pPr>
      <w:bookmarkStart w:id="86" w:name="_GoBack"/>
      <w:bookmarkEnd w:id="86"/>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3"/>
        <w:ind w:firstLine="0"/>
      </w:pPr>
      <w:r>
        <w:rPr>
          <w:rFonts w:hint="eastAsia"/>
        </w:rPr>
        <w:t>供应商认为需要提供的其他材料</w:t>
      </w:r>
      <w:bookmarkEnd w:id="77"/>
      <w:bookmarkEnd w:id="78"/>
      <w:bookmarkEnd w:id="79"/>
      <w:bookmarkEnd w:id="81"/>
      <w:bookmarkEnd w:id="82"/>
      <w:bookmarkEnd w:id="83"/>
    </w:p>
    <w:p w14:paraId="75706F50">
      <w:pPr>
        <w:pStyle w:val="7"/>
        <w:jc w:val="center"/>
        <w:rPr>
          <w:rFonts w:ascii="仿宋" w:hAnsi="仿宋" w:eastAsia="仿宋" w:cs="仿宋"/>
        </w:rPr>
      </w:pPr>
    </w:p>
    <w:p w14:paraId="3BDE8109">
      <w:pPr>
        <w:pStyle w:val="7"/>
        <w:jc w:val="center"/>
        <w:rPr>
          <w:rFonts w:ascii="仿宋" w:hAnsi="仿宋" w:eastAsia="仿宋" w:cs="仿宋"/>
        </w:rPr>
      </w:pPr>
    </w:p>
    <w:p w14:paraId="63FFE08D">
      <w:pPr>
        <w:pStyle w:val="7"/>
        <w:jc w:val="center"/>
        <w:rPr>
          <w:rFonts w:ascii="仿宋" w:hAnsi="仿宋" w:eastAsia="仿宋" w:cs="仿宋"/>
        </w:rPr>
      </w:pPr>
    </w:p>
    <w:p w14:paraId="45648C50">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5447"/>
      <w:bookmarkStart w:id="85" w:name="_Toc20691"/>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17A7B0-D0F6-4821-96CC-0512FD5CEC6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1075176-6152-442F-9C2F-14726971C8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28B8F46-5FD2-4E5A-AEEF-95246CBB6776}"/>
  </w:font>
  <w:font w:name="仿宋">
    <w:panose1 w:val="02010609060101010101"/>
    <w:charset w:val="86"/>
    <w:family w:val="modern"/>
    <w:pitch w:val="default"/>
    <w:sig w:usb0="800002BF" w:usb1="38CF7CFA" w:usb2="00000016" w:usb3="00000000" w:csb0="00040001" w:csb1="00000000"/>
    <w:embedRegular r:id="rId4" w:fontKey="{918CD95B-E95A-40D2-9E81-2D3833A7FE1A}"/>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5" w:fontKey="{0412DC81-C56E-437A-B1F9-A87DA7B93CE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embedRegular r:id="rId6" w:fontKey="{B28B253E-0AE7-4B81-B0FD-5B696F160B69}"/>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996CCAE8"/>
    <w:multiLevelType w:val="singleLevel"/>
    <w:tmpl w:val="996CCAE8"/>
    <w:lvl w:ilvl="0" w:tentative="0">
      <w:start w:val="1"/>
      <w:numFmt w:val="chineseCounting"/>
      <w:suff w:val="nothing"/>
      <w:lvlText w:val="%1、"/>
      <w:lvlJc w:val="left"/>
      <w:rPr>
        <w:rFonts w:hint="eastAsia"/>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012C4457"/>
    <w:multiLevelType w:val="singleLevel"/>
    <w:tmpl w:val="012C4457"/>
    <w:lvl w:ilvl="0" w:tentative="0">
      <w:start w:val="1"/>
      <w:numFmt w:val="chineseCounting"/>
      <w:suff w:val="nothing"/>
      <w:lvlText w:val="%1、"/>
      <w:lvlJc w:val="left"/>
      <w:rPr>
        <w:rFonts w:hint="eastAsia"/>
      </w:r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2"/>
  </w:num>
  <w:num w:numId="6">
    <w:abstractNumId w:val="17"/>
  </w:num>
  <w:num w:numId="7">
    <w:abstractNumId w:val="14"/>
  </w:num>
  <w:num w:numId="8">
    <w:abstractNumId w:val="8"/>
  </w:num>
  <w:num w:numId="9">
    <w:abstractNumId w:val="16"/>
  </w:num>
  <w:num w:numId="10">
    <w:abstractNumId w:val="2"/>
  </w:num>
  <w:num w:numId="11">
    <w:abstractNumId w:val="5"/>
  </w:num>
  <w:num w:numId="12">
    <w:abstractNumId w:val="0"/>
  </w:num>
  <w:num w:numId="13">
    <w:abstractNumId w:val="3"/>
  </w:num>
  <w:num w:numId="14">
    <w:abstractNumId w:val="7"/>
  </w:num>
  <w:num w:numId="15">
    <w:abstractNumId w:val="4"/>
  </w:num>
  <w:num w:numId="16">
    <w:abstractNumId w:val="6"/>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B05289"/>
    <w:rsid w:val="01F057BA"/>
    <w:rsid w:val="01FF1E15"/>
    <w:rsid w:val="02BC7782"/>
    <w:rsid w:val="037B73C5"/>
    <w:rsid w:val="038E0C11"/>
    <w:rsid w:val="041D546A"/>
    <w:rsid w:val="05034CD6"/>
    <w:rsid w:val="05786D8C"/>
    <w:rsid w:val="058C78B0"/>
    <w:rsid w:val="05E13064"/>
    <w:rsid w:val="06043A48"/>
    <w:rsid w:val="06D7510F"/>
    <w:rsid w:val="06D857D5"/>
    <w:rsid w:val="07275343"/>
    <w:rsid w:val="078909F5"/>
    <w:rsid w:val="07CA7DEC"/>
    <w:rsid w:val="08D833C0"/>
    <w:rsid w:val="093A3733"/>
    <w:rsid w:val="0A4B5655"/>
    <w:rsid w:val="0A5B6C7C"/>
    <w:rsid w:val="0B223ED3"/>
    <w:rsid w:val="0B395F4B"/>
    <w:rsid w:val="0B4276FF"/>
    <w:rsid w:val="0B4508AE"/>
    <w:rsid w:val="0BF34D9F"/>
    <w:rsid w:val="0C375F99"/>
    <w:rsid w:val="0C917085"/>
    <w:rsid w:val="0CD33899"/>
    <w:rsid w:val="0CE045F1"/>
    <w:rsid w:val="0D465A55"/>
    <w:rsid w:val="0DF5199B"/>
    <w:rsid w:val="0E0B7FF0"/>
    <w:rsid w:val="0E9953A0"/>
    <w:rsid w:val="0E9A4D55"/>
    <w:rsid w:val="0F23034D"/>
    <w:rsid w:val="0F522C33"/>
    <w:rsid w:val="0FB9627D"/>
    <w:rsid w:val="0FDF3286"/>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7130116"/>
    <w:rsid w:val="172F68A1"/>
    <w:rsid w:val="17887E32"/>
    <w:rsid w:val="17CC7129"/>
    <w:rsid w:val="17F1147E"/>
    <w:rsid w:val="19847FC3"/>
    <w:rsid w:val="1994787E"/>
    <w:rsid w:val="1A586B54"/>
    <w:rsid w:val="1AAE3FD3"/>
    <w:rsid w:val="1AEF347F"/>
    <w:rsid w:val="1B3B2C45"/>
    <w:rsid w:val="1B460CBD"/>
    <w:rsid w:val="1C9753FE"/>
    <w:rsid w:val="1DD000AF"/>
    <w:rsid w:val="1E09745A"/>
    <w:rsid w:val="1E14234D"/>
    <w:rsid w:val="1E8F4CF1"/>
    <w:rsid w:val="1F4F7C3B"/>
    <w:rsid w:val="1F920200"/>
    <w:rsid w:val="20D97009"/>
    <w:rsid w:val="210C2FB0"/>
    <w:rsid w:val="211D2ED8"/>
    <w:rsid w:val="2173335D"/>
    <w:rsid w:val="23791F56"/>
    <w:rsid w:val="24681644"/>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3C55DB7"/>
    <w:rsid w:val="340D3450"/>
    <w:rsid w:val="343706EB"/>
    <w:rsid w:val="34732DE4"/>
    <w:rsid w:val="34E851C6"/>
    <w:rsid w:val="34F46F3C"/>
    <w:rsid w:val="351A08D0"/>
    <w:rsid w:val="357519FC"/>
    <w:rsid w:val="35A61797"/>
    <w:rsid w:val="35D74205"/>
    <w:rsid w:val="362A0508"/>
    <w:rsid w:val="367D6EF4"/>
    <w:rsid w:val="372F3AE9"/>
    <w:rsid w:val="373D3686"/>
    <w:rsid w:val="37BF3B20"/>
    <w:rsid w:val="37D82A22"/>
    <w:rsid w:val="380B5401"/>
    <w:rsid w:val="38323B02"/>
    <w:rsid w:val="38AE5E8C"/>
    <w:rsid w:val="39643D30"/>
    <w:rsid w:val="3A335BDD"/>
    <w:rsid w:val="3A900FE8"/>
    <w:rsid w:val="3B4E7DFC"/>
    <w:rsid w:val="3BA23236"/>
    <w:rsid w:val="3D375AA1"/>
    <w:rsid w:val="3D931F15"/>
    <w:rsid w:val="3EA40469"/>
    <w:rsid w:val="3FA84948"/>
    <w:rsid w:val="3FAF2DDF"/>
    <w:rsid w:val="3FE34CD0"/>
    <w:rsid w:val="4106480E"/>
    <w:rsid w:val="41600431"/>
    <w:rsid w:val="42075FF8"/>
    <w:rsid w:val="42E67EAC"/>
    <w:rsid w:val="42E77C3D"/>
    <w:rsid w:val="45763769"/>
    <w:rsid w:val="45EB4889"/>
    <w:rsid w:val="46271B24"/>
    <w:rsid w:val="465D0053"/>
    <w:rsid w:val="468567BB"/>
    <w:rsid w:val="4782487D"/>
    <w:rsid w:val="483002E2"/>
    <w:rsid w:val="48D62926"/>
    <w:rsid w:val="49112086"/>
    <w:rsid w:val="49344560"/>
    <w:rsid w:val="495751DE"/>
    <w:rsid w:val="4A32695E"/>
    <w:rsid w:val="4AB820A2"/>
    <w:rsid w:val="4AC2542A"/>
    <w:rsid w:val="4AC93DD1"/>
    <w:rsid w:val="4B4F618D"/>
    <w:rsid w:val="4BAD0151"/>
    <w:rsid w:val="4C8F75A2"/>
    <w:rsid w:val="4C9B5B63"/>
    <w:rsid w:val="4CAD0AB1"/>
    <w:rsid w:val="4CB701C3"/>
    <w:rsid w:val="4E1A4A99"/>
    <w:rsid w:val="4E8C008E"/>
    <w:rsid w:val="4F091A0A"/>
    <w:rsid w:val="4FD14828"/>
    <w:rsid w:val="4FE76A45"/>
    <w:rsid w:val="506A72A7"/>
    <w:rsid w:val="50771A9C"/>
    <w:rsid w:val="52EC23F5"/>
    <w:rsid w:val="52FA3ECC"/>
    <w:rsid w:val="53177E08"/>
    <w:rsid w:val="53854CE8"/>
    <w:rsid w:val="53BF0A7B"/>
    <w:rsid w:val="5455382C"/>
    <w:rsid w:val="545E542E"/>
    <w:rsid w:val="54E0475B"/>
    <w:rsid w:val="566B5FD6"/>
    <w:rsid w:val="56A53892"/>
    <w:rsid w:val="5728175E"/>
    <w:rsid w:val="5734171E"/>
    <w:rsid w:val="579E47FB"/>
    <w:rsid w:val="57B819BF"/>
    <w:rsid w:val="57C512E5"/>
    <w:rsid w:val="586B0701"/>
    <w:rsid w:val="58BD4DB3"/>
    <w:rsid w:val="59710D46"/>
    <w:rsid w:val="59C90057"/>
    <w:rsid w:val="5A071E36"/>
    <w:rsid w:val="5B243E89"/>
    <w:rsid w:val="5B2829B8"/>
    <w:rsid w:val="5B800F26"/>
    <w:rsid w:val="5C124930"/>
    <w:rsid w:val="5C4A7838"/>
    <w:rsid w:val="5E291F62"/>
    <w:rsid w:val="5EB9456E"/>
    <w:rsid w:val="5EFC3EB9"/>
    <w:rsid w:val="5F423385"/>
    <w:rsid w:val="5F580348"/>
    <w:rsid w:val="5F796A42"/>
    <w:rsid w:val="60605BAC"/>
    <w:rsid w:val="609B00D0"/>
    <w:rsid w:val="60C53B7A"/>
    <w:rsid w:val="60E308E3"/>
    <w:rsid w:val="62330506"/>
    <w:rsid w:val="62876ED7"/>
    <w:rsid w:val="62C51434"/>
    <w:rsid w:val="632E2511"/>
    <w:rsid w:val="63553057"/>
    <w:rsid w:val="63A9427A"/>
    <w:rsid w:val="63AB062A"/>
    <w:rsid w:val="63D462B1"/>
    <w:rsid w:val="641A3596"/>
    <w:rsid w:val="644B0163"/>
    <w:rsid w:val="647C6435"/>
    <w:rsid w:val="650509E7"/>
    <w:rsid w:val="65493C57"/>
    <w:rsid w:val="658845F7"/>
    <w:rsid w:val="65E40ADA"/>
    <w:rsid w:val="66330B86"/>
    <w:rsid w:val="667879D5"/>
    <w:rsid w:val="66A70F60"/>
    <w:rsid w:val="66E22203"/>
    <w:rsid w:val="67133952"/>
    <w:rsid w:val="67330CCC"/>
    <w:rsid w:val="67C95196"/>
    <w:rsid w:val="68C36416"/>
    <w:rsid w:val="69C42446"/>
    <w:rsid w:val="69D50CF4"/>
    <w:rsid w:val="6A8B14FA"/>
    <w:rsid w:val="6AA97CAB"/>
    <w:rsid w:val="6AD401BA"/>
    <w:rsid w:val="6C487AFD"/>
    <w:rsid w:val="6CB24363"/>
    <w:rsid w:val="6D301BA0"/>
    <w:rsid w:val="6D926B67"/>
    <w:rsid w:val="6DA52693"/>
    <w:rsid w:val="6DE728CA"/>
    <w:rsid w:val="6FA23F69"/>
    <w:rsid w:val="6FCF0795"/>
    <w:rsid w:val="70076B11"/>
    <w:rsid w:val="70480305"/>
    <w:rsid w:val="71646B2B"/>
    <w:rsid w:val="72D75444"/>
    <w:rsid w:val="736343F9"/>
    <w:rsid w:val="73634FBB"/>
    <w:rsid w:val="73AC4DB9"/>
    <w:rsid w:val="741C016E"/>
    <w:rsid w:val="745A6E93"/>
    <w:rsid w:val="745F66ED"/>
    <w:rsid w:val="752F0ACE"/>
    <w:rsid w:val="75306550"/>
    <w:rsid w:val="75331EE9"/>
    <w:rsid w:val="754D1D92"/>
    <w:rsid w:val="75BD46DB"/>
    <w:rsid w:val="76536663"/>
    <w:rsid w:val="77F474AF"/>
    <w:rsid w:val="78202D4E"/>
    <w:rsid w:val="78273E08"/>
    <w:rsid w:val="784F3822"/>
    <w:rsid w:val="78E44CAE"/>
    <w:rsid w:val="795135CA"/>
    <w:rsid w:val="797B7D3B"/>
    <w:rsid w:val="79967A89"/>
    <w:rsid w:val="7A3B22B0"/>
    <w:rsid w:val="7A995229"/>
    <w:rsid w:val="7B550DA5"/>
    <w:rsid w:val="7B5F74F8"/>
    <w:rsid w:val="7B690630"/>
    <w:rsid w:val="7BB6153E"/>
    <w:rsid w:val="7BF24BF0"/>
    <w:rsid w:val="7C387CDA"/>
    <w:rsid w:val="7CE74C9B"/>
    <w:rsid w:val="7CF47CCC"/>
    <w:rsid w:val="7D040AB6"/>
    <w:rsid w:val="7D4119E6"/>
    <w:rsid w:val="7E3F39F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7"/>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6"/>
    <w:next w:val="6"/>
    <w:link w:val="38"/>
    <w:qFormat/>
    <w:uiPriority w:val="0"/>
    <w:rPr>
      <w:b/>
      <w:bCs/>
    </w:rPr>
  </w:style>
  <w:style w:type="paragraph" w:styleId="17">
    <w:name w:val="Body Text First Indent"/>
    <w:basedOn w:val="7"/>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6"/>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3"/>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character" w:customStyle="1" w:styleId="48">
    <w:name w:val="font11"/>
    <w:basedOn w:val="21"/>
    <w:qFormat/>
    <w:uiPriority w:val="0"/>
    <w:rPr>
      <w:rFonts w:hint="eastAsia" w:ascii="等线" w:hAnsi="等线" w:eastAsia="等线" w:cs="等线"/>
      <w:b/>
      <w:bCs/>
      <w:color w:val="000000"/>
      <w:sz w:val="22"/>
      <w:szCs w:val="22"/>
      <w:u w:val="none"/>
    </w:rPr>
  </w:style>
  <w:style w:type="character" w:customStyle="1" w:styleId="49">
    <w:name w:val="font01"/>
    <w:basedOn w:val="2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29</Pages>
  <Words>132</Words>
  <Characters>145</Characters>
  <Lines>59</Lines>
  <Paragraphs>16</Paragraphs>
  <TotalTime>6</TotalTime>
  <ScaleCrop>false</ScaleCrop>
  <LinksUpToDate>false</LinksUpToDate>
  <CharactersWithSpaces>163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2026-05-14T08:36:53Z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