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比选（2026）083号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血浆分离器与配套管路</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血浆分离器与配套管路</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比选（2026）083号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6E0179C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Style w:val="44"/>
          <w:rFonts w:hint="eastAsia"/>
          <w:color w:val="auto"/>
          <w:sz w:val="22"/>
          <w:szCs w:val="22"/>
          <w:lang w:val="en-US" w:eastAsia="zh-CN" w:bidi="ar"/>
        </w:rPr>
        <w:t>用于治疗性血浆置换。</w:t>
      </w:r>
    </w:p>
    <w:p w14:paraId="6A8D4113">
      <w:pPr>
        <w:spacing w:after="317" w:afterLines="100"/>
        <w:outlineLvl w:val="1"/>
        <w:rPr>
          <w:rFonts w:ascii="仿宋" w:hAnsi="仿宋" w:eastAsia="仿宋" w:cs="仿宋"/>
          <w:b/>
          <w:bCs/>
          <w:sz w:val="24"/>
          <w:szCs w:val="24"/>
        </w:rPr>
      </w:pP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default" w:ascii="宋体" w:hAnsi="宋体" w:eastAsia="宋体" w:cs="宋体"/>
                <w:kern w:val="0"/>
                <w:sz w:val="18"/>
                <w:szCs w:val="18"/>
                <w:lang w:val="en-US" w:eastAsia="zh-CN" w:bidi="ar"/>
              </w:rPr>
              <w:t>血透中心, 重症医学科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血浆分离器与配套管路</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6BE75C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1.适配设备：百特金宝血液净化设备，型号：Prismaflex。</w:t>
            </w:r>
          </w:p>
          <w:p w14:paraId="46E62AFD">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用途：用于治疗性血浆置换。</w:t>
            </w:r>
          </w:p>
          <w:p w14:paraId="7A56F6E1">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2.四川省《药品和医用耗材招采管理系统》价格联动挂网专区挂网的产品。</w:t>
            </w:r>
          </w:p>
          <w:p w14:paraId="765D8E1C">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3.可计费材料医保码在四川省医保局可查询。</w:t>
            </w:r>
          </w:p>
          <w:p w14:paraId="4D33A32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7163"/>
      <w:bookmarkStart w:id="25" w:name="_Toc1690"/>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599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2041"/>
      <w:bookmarkStart w:id="67" w:name="_Toc16435"/>
      <w:bookmarkStart w:id="68" w:name="_Toc12967"/>
      <w:bookmarkStart w:id="69" w:name="_Toc23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DB44BF1-9D88-45D2-849B-7185DF8C0B1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B8E5EB1-E535-4D11-AA50-329E424A1E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9059272-B02A-4E1A-8077-2BD5C22D9EB6}"/>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8505DC4C-0377-4B87-86F1-C656FBE39C2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1</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2026-04-30T07:12:00Z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0BE10FE738804EE49BAE4644FD5A7E73_13</vt:lpwstr>
  </property>
  <property fmtid="{D5CDD505-2E9C-101B-9397-08002B2CF9AE}" pid="4" name="KSOTemplateDocerSaveRecord">
    <vt:lpwstr>eyJoZGlkIjoiZDU1MTNmZmUyODIzN2MxNDgwNzc5NDI0N2ZkNjJhM2IiLCJ1c2VySWQiOiIzMTQ2NjUyOTIifQ==</vt:lpwstr>
  </property>
</Properties>
</file>