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）0</w:t>
      </w:r>
      <w:r>
        <w:rPr>
          <w:rFonts w:hint="eastAsia" w:ascii="宋体" w:hAnsi="宋体"/>
          <w:b/>
          <w:color w:val="000000"/>
          <w:sz w:val="36"/>
          <w:lang w:val="en-US" w:eastAsia="zh-CN"/>
        </w:rPr>
        <w:t>68号</w:t>
      </w:r>
    </w:p>
    <w:p w14:paraId="4002C554">
      <w:pPr>
        <w:ind w:firstLine="723" w:firstLineChars="200"/>
        <w:rPr>
          <w:rFonts w:hint="eastAsia" w:ascii="宋体" w:hAnsi="宋体"/>
          <w:b/>
          <w:color w:val="000000"/>
          <w:sz w:val="36"/>
        </w:rPr>
      </w:pPr>
    </w:p>
    <w:p w14:paraId="250C7BBF">
      <w:pPr>
        <w:ind w:firstLine="723" w:firstLineChars="200"/>
        <w:rPr>
          <w:rFonts w:hint="eastAsia" w:ascii="宋体" w:hAnsi="宋体"/>
          <w:b/>
          <w:color w:val="000000"/>
          <w:sz w:val="36"/>
        </w:rPr>
      </w:pPr>
      <w:r>
        <w:rPr>
          <w:rFonts w:hint="eastAsia" w:ascii="宋体" w:hAnsi="宋体"/>
          <w:b/>
          <w:color w:val="000000"/>
          <w:sz w:val="36"/>
        </w:rPr>
        <w:t>项目名称：</w:t>
      </w:r>
      <w:r>
        <w:rPr>
          <w:rFonts w:hint="eastAsia" w:ascii="宋体" w:hAnsi="宋体"/>
          <w:b/>
          <w:color w:val="000000"/>
          <w:sz w:val="36"/>
          <w:lang w:val="en-US" w:eastAsia="zh-CN"/>
        </w:rPr>
        <w:t>脉动真空灭菌器</w:t>
      </w:r>
    </w:p>
    <w:p w14:paraId="203576E3">
      <w:pPr>
        <w:ind w:firstLine="723" w:firstLineChars="200"/>
        <w:rPr>
          <w:rFonts w:hint="eastAsia" w:ascii="宋体" w:hAnsi="宋体"/>
          <w:b/>
          <w:color w:val="000000"/>
          <w:sz w:val="36"/>
        </w:rPr>
      </w:pPr>
    </w:p>
    <w:p w14:paraId="6AD7194A">
      <w:pPr>
        <w:ind w:firstLine="723" w:firstLineChars="200"/>
        <w:rPr>
          <w:rFonts w:hint="eastAsia" w:ascii="宋体" w:hAnsi="宋体"/>
          <w:b/>
          <w:color w:val="000000"/>
          <w:sz w:val="36"/>
        </w:rPr>
      </w:pPr>
    </w:p>
    <w:p w14:paraId="411F97D1">
      <w:pPr>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4</w:t>
      </w:r>
      <w:r>
        <w:rPr>
          <w:rFonts w:hint="eastAsia" w:ascii="仿宋" w:hAnsi="仿宋" w:eastAsia="仿宋" w:cs="黑体"/>
          <w:b/>
          <w:sz w:val="36"/>
          <w:szCs w:val="36"/>
          <w:lang w:val="zh-CN"/>
        </w:rPr>
        <w:t>月</w:t>
      </w:r>
    </w:p>
    <w:p w14:paraId="194144A0">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4"/>
        <w:tabs>
          <w:tab w:val="right" w:leader="dot" w:pos="8299"/>
        </w:tabs>
        <w:rPr>
          <w:rFonts w:ascii="仿宋" w:hAnsi="仿宋" w:eastAsia="仿宋" w:cs="仿宋"/>
          <w:sz w:val="28"/>
          <w:szCs w:val="28"/>
        </w:rPr>
      </w:pPr>
    </w:p>
    <w:p w14:paraId="541E0714">
      <w:pPr>
        <w:pStyle w:val="13"/>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left="210" w:leftChars="100" w:firstLine="1980" w:firstLineChars="900"/>
              <w:rPr>
                <w:rFonts w:hint="eastAsia" w:ascii="仿宋" w:hAnsi="仿宋" w:eastAsia="仿宋" w:cs="仿宋"/>
                <w:sz w:val="22"/>
              </w:rPr>
            </w:pPr>
            <w:r>
              <w:rPr>
                <w:rFonts w:hint="eastAsia" w:ascii="仿宋" w:hAnsi="仿宋" w:eastAsia="仿宋" w:cs="仿宋"/>
                <w:sz w:val="22"/>
                <w:lang w:val="en-US" w:eastAsia="zh-CN"/>
              </w:rPr>
              <w:t>脉动真空灭菌器</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w:t>
            </w:r>
            <w:r>
              <w:rPr>
                <w:rFonts w:hint="eastAsia" w:ascii="仿宋" w:hAnsi="仿宋" w:eastAsia="仿宋" w:cs="仿宋"/>
                <w:sz w:val="22"/>
              </w:rPr>
              <w:t>）0</w:t>
            </w:r>
            <w:r>
              <w:rPr>
                <w:rFonts w:hint="eastAsia" w:ascii="仿宋" w:hAnsi="仿宋" w:eastAsia="仿宋" w:cs="仿宋"/>
                <w:sz w:val="22"/>
                <w:lang w:val="en-US" w:eastAsia="zh-CN"/>
              </w:rPr>
              <w:t>68号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45A53C31">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29.8万元</w:t>
            </w:r>
            <w:r>
              <w:rPr>
                <w:rFonts w:hint="eastAsia" w:ascii="仿宋" w:hAnsi="仿宋" w:eastAsia="仿宋" w:cs="仿宋"/>
                <w:sz w:val="22"/>
              </w:rPr>
              <w:t>（超过最高限价的报价，其响应文件作无效处理）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60CD8E5C">
            <w:pPr>
              <w:numPr>
                <w:ilvl w:val="0"/>
                <w:numId w:val="11"/>
              </w:numPr>
              <w:spacing w:line="360" w:lineRule="auto"/>
              <w:ind w:left="210" w:leftChars="100" w:firstLine="0" w:firstLineChars="0"/>
              <w:rPr>
                <w:rFonts w:hint="eastAsia" w:ascii="仿宋" w:hAnsi="仿宋" w:eastAsia="仿宋" w:cs="仿宋"/>
                <w:b/>
                <w:bCs/>
                <w:sz w:val="22"/>
              </w:rPr>
            </w:pPr>
            <w:r>
              <w:rPr>
                <w:rFonts w:hint="eastAsia" w:ascii="仿宋" w:hAnsi="仿宋" w:eastAsia="仿宋" w:cs="仿宋"/>
                <w:b/>
                <w:bCs/>
                <w:sz w:val="22"/>
              </w:rPr>
              <w:t>主管部门： 医学装备科</w:t>
            </w:r>
          </w:p>
          <w:p w14:paraId="77A7F592">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李老师 15881650086</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2"/>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6"/>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6"/>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28050"/>
      <w:bookmarkStart w:id="3" w:name="_Toc5431"/>
      <w:bookmarkStart w:id="4" w:name="_Toc19400"/>
      <w:r>
        <w:rPr>
          <w:rFonts w:hint="eastAsia"/>
        </w:rPr>
        <w:t xml:space="preserve">第三章 </w:t>
      </w:r>
      <w:r>
        <w:t xml:space="preserve"> </w:t>
      </w:r>
      <w:r>
        <w:rPr>
          <w:rFonts w:hint="eastAsia"/>
        </w:rPr>
        <w:t>供应商资格审查及符合性审查</w:t>
      </w:r>
      <w:bookmarkEnd w:id="2"/>
      <w:bookmarkEnd w:id="3"/>
      <w:bookmarkEnd w:id="4"/>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11DC03A3">
            <w:pPr>
              <w:pStyle w:val="27"/>
              <w:numPr>
                <w:ilvl w:val="0"/>
                <w:numId w:val="18"/>
              </w:numPr>
              <w:spacing w:line="240" w:lineRule="exact"/>
              <w:ind w:firstLineChars="0"/>
              <w:jc w:val="left"/>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投标人需具备医疗器械经营许可证或备案凭证。</w:t>
            </w:r>
          </w:p>
          <w:p w14:paraId="68B0E924">
            <w:pPr>
              <w:pStyle w:val="27"/>
              <w:numPr>
                <w:ilvl w:val="0"/>
                <w:numId w:val="18"/>
              </w:numPr>
              <w:spacing w:line="240" w:lineRule="exact"/>
              <w:ind w:firstLineChars="0"/>
              <w:jc w:val="left"/>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生产厂家具备医疗器械生产许可证。</w:t>
            </w:r>
          </w:p>
          <w:p w14:paraId="6331FF86">
            <w:pPr>
              <w:jc w:val="left"/>
              <w:rPr>
                <w:rFonts w:hint="eastAsia" w:ascii="仿宋" w:hAnsi="仿宋" w:eastAsia="仿宋" w:cs="仿宋"/>
                <w:sz w:val="22"/>
                <w:lang w:val="en-US" w:eastAsia="zh-CN"/>
              </w:rPr>
            </w:pPr>
            <w:r>
              <w:rPr>
                <w:rFonts w:hint="eastAsia" w:ascii="仿宋" w:hAnsi="仿宋" w:eastAsia="仿宋" w:cs="仿宋"/>
                <w:kern w:val="2"/>
                <w:sz w:val="22"/>
                <w:szCs w:val="22"/>
                <w:lang w:val="en-US" w:eastAsia="zh-CN" w:bidi="ar-SA"/>
              </w:rPr>
              <w:t>3.产品需具备中华人民共和国医疗器械注册证或备案。</w:t>
            </w: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4"/>
      </w:pPr>
    </w:p>
    <w:p w14:paraId="6F519FF2">
      <w:pPr>
        <w:pStyle w:val="24"/>
      </w:pPr>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3988"/>
      <w:bookmarkStart w:id="6" w:name="_Toc12193"/>
      <w:bookmarkStart w:id="7" w:name="_Toc12668"/>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9"/>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150ED90A">
      <w:pPr>
        <w:numPr>
          <w:ilvl w:val="0"/>
          <w:numId w:val="0"/>
        </w:numPr>
        <w:spacing w:line="360" w:lineRule="auto"/>
        <w:ind w:leftChars="0" w:firstLine="360" w:firstLineChars="200"/>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消毒供应中心因日常工作需要，现需采购1套脉动真空灭菌器。</w:t>
      </w:r>
    </w:p>
    <w:p w14:paraId="29B914A7">
      <w:pPr>
        <w:numPr>
          <w:ilvl w:val="0"/>
          <w:numId w:val="19"/>
        </w:numPr>
        <w:spacing w:after="317" w:afterLines="100" w:line="360" w:lineRule="auto"/>
        <w:ind w:left="0" w:leftChars="0" w:firstLine="0" w:firstLineChars="0"/>
        <w:outlineLvl w:val="1"/>
        <w:rPr>
          <w:rFonts w:hint="default" w:ascii="仿宋" w:hAnsi="仿宋" w:eastAsia="仿宋" w:cs="仿宋"/>
          <w:kern w:val="2"/>
          <w:sz w:val="24"/>
          <w:szCs w:val="24"/>
          <w:lang w:val="en-US" w:eastAsia="zh-CN" w:bidi="ar-SA"/>
        </w:rPr>
      </w:pPr>
      <w:r>
        <w:rPr>
          <w:rFonts w:hint="eastAsia" w:ascii="仿宋" w:hAnsi="仿宋" w:eastAsia="仿宋" w:cs="仿宋"/>
          <w:b/>
          <w:bCs/>
          <w:sz w:val="24"/>
          <w:szCs w:val="24"/>
        </w:rPr>
        <w:t>技术、服务要求</w:t>
      </w:r>
    </w:p>
    <w:p w14:paraId="4FDE8554">
      <w:pPr>
        <w:pStyle w:val="27"/>
        <w:numPr>
          <w:ilvl w:val="0"/>
          <w:numId w:val="0"/>
        </w:numPr>
        <w:spacing w:line="440" w:lineRule="exact"/>
        <w:ind w:leftChars="0"/>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消毒供应室 脉动真空灭菌器 1套</w:t>
      </w:r>
    </w:p>
    <w:p w14:paraId="2443839B">
      <w:pPr>
        <w:pStyle w:val="27"/>
        <w:numPr>
          <w:ilvl w:val="0"/>
          <w:numId w:val="0"/>
        </w:numPr>
        <w:spacing w:line="440" w:lineRule="exact"/>
        <w:ind w:leftChars="0"/>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1.灭菌器主体外形结构要求：容积≥1500L，采用环形加强筋结构；多点进汽口≥10个。</w:t>
      </w:r>
    </w:p>
    <w:p w14:paraId="72F76BB9">
      <w:pPr>
        <w:pStyle w:val="27"/>
        <w:numPr>
          <w:ilvl w:val="0"/>
          <w:numId w:val="0"/>
        </w:numPr>
        <w:spacing w:line="440" w:lineRule="exact"/>
        <w:ind w:leftChars="0"/>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2.灭菌器端口需免费和医院现有追溯系统对接。 （现有追溯系统生产厂家：山东新华，型号：XHCSSD70）</w:t>
      </w:r>
    </w:p>
    <w:p w14:paraId="6033FB82">
      <w:pPr>
        <w:pStyle w:val="27"/>
        <w:numPr>
          <w:ilvl w:val="0"/>
          <w:numId w:val="0"/>
        </w:numPr>
        <w:spacing w:line="440" w:lineRule="exact"/>
        <w:ind w:leftChars="0"/>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3.灭菌器腔体及夹层整体材质≥316不锈钢，设备全部管路以及蒸汽发生器均采用卫生级不锈钢材质，能完全达到洁净蒸汽灭菌要求。</w:t>
      </w:r>
    </w:p>
    <w:p w14:paraId="2CFBE06D">
      <w:pPr>
        <w:pStyle w:val="27"/>
        <w:numPr>
          <w:ilvl w:val="0"/>
          <w:numId w:val="0"/>
        </w:numPr>
        <w:spacing w:line="440" w:lineRule="exact"/>
        <w:ind w:leftChars="0"/>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4.灭菌器使用年限≥15年，提供设备铭牌照片或说明书证明。</w:t>
      </w:r>
    </w:p>
    <w:p w14:paraId="6ACC0C7C">
      <w:pPr>
        <w:pStyle w:val="27"/>
        <w:numPr>
          <w:ilvl w:val="0"/>
          <w:numId w:val="0"/>
        </w:numPr>
        <w:spacing w:line="440" w:lineRule="exact"/>
        <w:ind w:leftChars="0"/>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5.由于安装场地限制，设备整体宽度≤1100mm。</w:t>
      </w:r>
    </w:p>
    <w:p w14:paraId="7589AFEB">
      <w:pPr>
        <w:pStyle w:val="27"/>
        <w:numPr>
          <w:ilvl w:val="0"/>
          <w:numId w:val="0"/>
        </w:numPr>
        <w:spacing w:line="440" w:lineRule="exact"/>
        <w:ind w:leftChars="0"/>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6.门胶圈要求：采用圆形门胶圈，医用透明高抗撕硅橡胶材质。</w:t>
      </w:r>
    </w:p>
    <w:p w14:paraId="43774030">
      <w:pPr>
        <w:pStyle w:val="27"/>
        <w:numPr>
          <w:ilvl w:val="0"/>
          <w:numId w:val="0"/>
        </w:numPr>
        <w:spacing w:line="440" w:lineRule="exact"/>
        <w:ind w:leftChars="0"/>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7.灭菌器采用低温无压排水设置，设备具备高温无压冷却排水系统，高温冷却排水温度≤55度 ；设备降噪系统要求：采用节水降噪装置，核心配件具有消音功能。</w:t>
      </w:r>
    </w:p>
    <w:p w14:paraId="55E01471">
      <w:pPr>
        <w:pStyle w:val="27"/>
        <w:numPr>
          <w:ilvl w:val="0"/>
          <w:numId w:val="0"/>
        </w:numPr>
        <w:spacing w:line="440" w:lineRule="exact"/>
        <w:ind w:leftChars="0"/>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8.</w:t>
      </w:r>
      <w:r>
        <w:rPr>
          <w:rFonts w:hint="eastAsia" w:ascii="宋体" w:hAnsi="宋体" w:eastAsia="宋体" w:cs="宋体"/>
          <w:kern w:val="0"/>
          <w:sz w:val="18"/>
          <w:szCs w:val="18"/>
          <w:lang w:val="en-US" w:eastAsia="zh-CN" w:bidi="ar-SA"/>
        </w:rPr>
        <w:t>灭菌器人机交互操作端的前门及后门均要求均采用高清电容触控屏，显示屏≥8英寸，灭菌工作时采用全屏倒计时显示，                                                                                                                                                                                                                                                                             系统内置≥8套预置程序。</w:t>
      </w:r>
    </w:p>
    <w:p w14:paraId="5C418272">
      <w:pPr>
        <w:pStyle w:val="27"/>
        <w:numPr>
          <w:ilvl w:val="0"/>
          <w:numId w:val="0"/>
        </w:numPr>
        <w:spacing w:line="440" w:lineRule="exact"/>
        <w:ind w:leftChars="0"/>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 xml:space="preserve">9.打印功能：灭菌器内室双温度打印，能同时打印记录温度和内室温度；灭菌器内室双压力打印，能同时打印记录压力和内室压力。                                                                                      </w:t>
      </w:r>
    </w:p>
    <w:p w14:paraId="215DF4D3">
      <w:pPr>
        <w:pStyle w:val="27"/>
        <w:numPr>
          <w:ilvl w:val="0"/>
          <w:numId w:val="0"/>
        </w:numPr>
        <w:spacing w:line="440" w:lineRule="exact"/>
        <w:ind w:leftChars="0"/>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10.设备脉动方式要求：采用负压脉动方式，设备符合EN285及ASME标准。</w:t>
      </w:r>
    </w:p>
    <w:p w14:paraId="737768CF">
      <w:pPr>
        <w:pStyle w:val="27"/>
        <w:numPr>
          <w:ilvl w:val="0"/>
          <w:numId w:val="0"/>
        </w:numPr>
        <w:spacing w:line="440" w:lineRule="exact"/>
        <w:ind w:leftChars="0"/>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11.集成空气加热装置：热风干燥方式。提供热风干燥装置安装在设备上的照片，以及热风干燥运行打印记录。</w:t>
      </w:r>
    </w:p>
    <w:p w14:paraId="276CB5FF">
      <w:pPr>
        <w:numPr>
          <w:ilvl w:val="0"/>
          <w:numId w:val="0"/>
        </w:numPr>
        <w:spacing w:line="360" w:lineRule="auto"/>
        <w:ind w:leftChars="0"/>
        <w:rPr>
          <w:rFonts w:hint="eastAsia" w:asciiTheme="minorHAnsi" w:hAnsiTheme="minorHAnsi" w:eastAsiaTheme="minorEastAsia" w:cstheme="minorBidi"/>
          <w:kern w:val="0"/>
          <w:sz w:val="24"/>
          <w:szCs w:val="24"/>
          <w:lang w:val="en-US" w:eastAsia="zh-CN" w:bidi="ar-SA"/>
        </w:rPr>
      </w:pPr>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2C5225F6">
      <w:pPr>
        <w:pStyle w:val="46"/>
        <w:jc w:val="left"/>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1、成交供应商需在30日内与采购人签订合同，签订合同后90日内提供货物并进行验收。</w:t>
      </w:r>
    </w:p>
    <w:p w14:paraId="5463B9AF">
      <w:pPr>
        <w:pStyle w:val="46"/>
        <w:jc w:val="left"/>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2、付款方式：货物验收合格并正常运行后，采购人收到中标人提交完备票据凭证资料后30日内支付90%款项，正常运行1年后支付10%尾款。</w:t>
      </w:r>
    </w:p>
    <w:p w14:paraId="51FB9568">
      <w:pPr>
        <w:pStyle w:val="46"/>
        <w:jc w:val="left"/>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3、验收要求：医学装备科和使用科室会同供应商共同验收。</w:t>
      </w:r>
    </w:p>
    <w:p w14:paraId="29FDDBA4">
      <w:pPr>
        <w:pStyle w:val="7"/>
        <w:spacing w:line="360" w:lineRule="auto"/>
        <w:ind w:firstLine="0"/>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4、售后服务：保修期≥3年；协助办理特种设备使用登记证。</w:t>
      </w:r>
    </w:p>
    <w:p w14:paraId="12397480">
      <w:pPr>
        <w:pStyle w:val="7"/>
        <w:spacing w:line="360" w:lineRule="auto"/>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49357539">
      <w:pPr>
        <w:pStyle w:val="7"/>
        <w:ind w:firstLine="420" w:firstLineChars="200"/>
      </w:pPr>
      <w:r>
        <w:br w:type="page"/>
      </w:r>
      <w:bookmarkStart w:id="78" w:name="_GoBack"/>
      <w:bookmarkEnd w:id="78"/>
    </w:p>
    <w:p w14:paraId="7908AF34">
      <w:pPr>
        <w:pStyle w:val="2"/>
        <w:numPr>
          <w:ilvl w:val="0"/>
          <w:numId w:val="0"/>
        </w:numPr>
        <w:ind w:left="402"/>
      </w:pPr>
      <w:bookmarkStart w:id="8" w:name="_Toc22827"/>
      <w:bookmarkStart w:id="9" w:name="_Toc16344"/>
      <w:bookmarkStart w:id="10" w:name="_Toc3094"/>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4960"/>
      <w:bookmarkStart w:id="12" w:name="_Toc29819"/>
      <w:bookmarkStart w:id="13" w:name="_Toc5913"/>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19851"/>
      <w:bookmarkStart w:id="15" w:name="_Toc9428"/>
      <w:bookmarkStart w:id="16" w:name="_Toc30609"/>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32352"/>
      <w:bookmarkStart w:id="18" w:name="_Toc1544"/>
      <w:bookmarkStart w:id="19" w:name="_Toc9041"/>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1472"/>
      <w:bookmarkStart w:id="21" w:name="_Toc24097"/>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24859"/>
      <w:bookmarkStart w:id="23" w:name="_Toc17163"/>
      <w:bookmarkStart w:id="24" w:name="_Toc1690"/>
      <w:bookmarkStart w:id="25" w:name="_Toc32749"/>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17905"/>
      <w:bookmarkStart w:id="27" w:name="_Toc6803"/>
      <w:bookmarkStart w:id="28" w:name="_Toc3558"/>
      <w:bookmarkStart w:id="29" w:name="_Toc24123"/>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27135"/>
      <w:bookmarkStart w:id="31" w:name="_Toc2989"/>
      <w:bookmarkStart w:id="32" w:name="_Toc27526"/>
      <w:bookmarkStart w:id="33" w:name="_Toc5996"/>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5056"/>
      <w:bookmarkStart w:id="35" w:name="_Toc7233"/>
      <w:bookmarkStart w:id="36" w:name="_Toc2031"/>
      <w:bookmarkStart w:id="37" w:name="_Toc19987"/>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16029"/>
      <w:bookmarkStart w:id="39" w:name="_Toc14829"/>
      <w:bookmarkStart w:id="40" w:name="_Toc21519"/>
      <w:bookmarkStart w:id="41" w:name="_Toc11352"/>
      <w:bookmarkStart w:id="42" w:name="_Toc6482"/>
      <w:bookmarkStart w:id="43" w:name="_Toc3023"/>
    </w:p>
    <w:p w14:paraId="2DCE1A72">
      <w:pPr>
        <w:rPr>
          <w:rStyle w:val="30"/>
          <w:rFonts w:ascii="仿宋" w:hAnsi="仿宋" w:eastAsia="仿宋" w:cs="仿宋"/>
          <w:b/>
          <w:bCs/>
          <w:sz w:val="32"/>
          <w:szCs w:val="28"/>
        </w:rPr>
      </w:pPr>
      <w:r>
        <w:rPr>
          <w:rStyle w:val="30"/>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4" w:name="_Toc4305"/>
      <w:bookmarkStart w:id="45" w:name="_Toc22676"/>
      <w:bookmarkStart w:id="46" w:name="_Toc30971"/>
      <w:bookmarkStart w:id="47" w:name="_Toc17857"/>
      <w:bookmarkStart w:id="48" w:name="_Toc31838"/>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6"/>
        <w:jc w:val="center"/>
        <w:rPr>
          <w:rFonts w:ascii="仿宋" w:hAnsi="仿宋" w:eastAsia="仿宋" w:cs="仿宋"/>
          <w:b/>
          <w:bCs/>
        </w:rPr>
      </w:pPr>
    </w:p>
    <w:p w14:paraId="428566B8">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0"/>
          <w:rFonts w:ascii="仿宋" w:hAnsi="仿宋" w:cs="仿宋"/>
          <w:szCs w:val="28"/>
        </w:rPr>
      </w:pPr>
      <w:r>
        <w:rPr>
          <w:rFonts w:hint="eastAsia" w:ascii="仿宋" w:hAnsi="仿宋" w:cs="仿宋"/>
          <w:bCs/>
        </w:rPr>
        <w:br w:type="page"/>
      </w:r>
      <w:bookmarkStart w:id="49" w:name="_Toc15613"/>
      <w:bookmarkStart w:id="50" w:name="_Toc27186"/>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13706"/>
      <w:bookmarkStart w:id="53" w:name="_Toc25357"/>
      <w:bookmarkStart w:id="54" w:name="_Toc13904"/>
    </w:p>
    <w:p w14:paraId="2490D0F0">
      <w:pPr>
        <w:pStyle w:val="3"/>
        <w:ind w:firstLine="0"/>
      </w:pPr>
      <w:bookmarkStart w:id="55" w:name="_Toc15508"/>
      <w:bookmarkStart w:id="56" w:name="_Toc23146"/>
      <w:r>
        <w:rPr>
          <w:rFonts w:hint="eastAsia"/>
        </w:rPr>
        <w:t>本项目其他资格条件提供的证明材料</w:t>
      </w:r>
      <w:bookmarkEnd w:id="51"/>
      <w:bookmarkEnd w:id="52"/>
      <w:bookmarkEnd w:id="53"/>
      <w:bookmarkEnd w:id="54"/>
      <w:bookmarkEnd w:id="55"/>
      <w:bookmarkEnd w:id="56"/>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29"/>
        <w:ind w:left="420" w:leftChars="200"/>
        <w:jc w:val="both"/>
        <w:rPr>
          <w:rFonts w:ascii="仿宋" w:hAnsi="仿宋" w:eastAsia="仿宋" w:cs="仿宋"/>
          <w:color w:val="auto"/>
        </w:rPr>
      </w:pPr>
    </w:p>
    <w:p w14:paraId="3561FC71">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11351"/>
      <w:bookmarkStart w:id="58" w:name="_Toc15526"/>
      <w:bookmarkStart w:id="59" w:name="_Toc12015"/>
      <w:bookmarkStart w:id="60" w:name="_Toc20589"/>
      <w:bookmarkStart w:id="61" w:name="_Toc27661"/>
      <w:bookmarkStart w:id="62" w:name="_Toc25638"/>
      <w:r>
        <w:rPr>
          <w:rStyle w:val="38"/>
          <w:rFonts w:hint="eastAsia"/>
          <w:b/>
        </w:rPr>
        <w:t>法定代表人身份证明书</w:t>
      </w:r>
      <w:bookmarkEnd w:id="57"/>
      <w:bookmarkEnd w:id="58"/>
      <w:bookmarkEnd w:id="59"/>
      <w:bookmarkEnd w:id="60"/>
      <w:bookmarkEnd w:id="61"/>
      <w:bookmarkEnd w:id="62"/>
    </w:p>
    <w:p w14:paraId="12E6DDAA">
      <w:pPr>
        <w:pStyle w:val="29"/>
        <w:jc w:val="center"/>
        <w:rPr>
          <w:rFonts w:ascii="仿宋" w:hAnsi="仿宋" w:eastAsia="仿宋" w:cs="仿宋"/>
          <w:color w:val="auto"/>
        </w:rPr>
      </w:pPr>
    </w:p>
    <w:p w14:paraId="49398CEB">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29"/>
        <w:jc w:val="center"/>
        <w:rPr>
          <w:rFonts w:ascii="仿宋" w:hAnsi="仿宋" w:eastAsia="仿宋" w:cs="仿宋"/>
          <w:color w:val="auto"/>
        </w:rPr>
      </w:pPr>
    </w:p>
    <w:p w14:paraId="6AB7F125">
      <w:pPr>
        <w:pStyle w:val="29"/>
        <w:jc w:val="center"/>
        <w:rPr>
          <w:rFonts w:ascii="仿宋" w:hAnsi="仿宋" w:eastAsia="仿宋" w:cs="仿宋"/>
          <w:color w:val="auto"/>
        </w:rPr>
      </w:pPr>
    </w:p>
    <w:p w14:paraId="1039ED9D">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29"/>
        <w:rPr>
          <w:rFonts w:ascii="仿宋" w:hAnsi="仿宋" w:eastAsia="仿宋" w:cs="仿宋"/>
          <w:color w:val="auto"/>
        </w:rPr>
      </w:pPr>
      <w:r>
        <w:rPr>
          <w:rFonts w:hint="eastAsia" w:ascii="仿宋" w:hAnsi="仿宋" w:eastAsia="仿宋" w:cs="仿宋"/>
          <w:color w:val="auto"/>
        </w:rPr>
        <w:t>特此证明。</w:t>
      </w:r>
    </w:p>
    <w:p w14:paraId="203782D8">
      <w:pPr>
        <w:pStyle w:val="29"/>
        <w:jc w:val="both"/>
        <w:rPr>
          <w:rFonts w:ascii="仿宋" w:hAnsi="仿宋" w:eastAsia="仿宋" w:cs="仿宋"/>
          <w:color w:val="auto"/>
        </w:rPr>
      </w:pPr>
    </w:p>
    <w:p w14:paraId="5184AE1A">
      <w:pPr>
        <w:pStyle w:val="29"/>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29"/>
        <w:jc w:val="center"/>
        <w:rPr>
          <w:rFonts w:ascii="仿宋" w:hAnsi="仿宋" w:eastAsia="仿宋" w:cs="仿宋"/>
          <w:color w:val="auto"/>
        </w:rPr>
      </w:pPr>
    </w:p>
    <w:p w14:paraId="284C7C41">
      <w:pPr>
        <w:pStyle w:val="29"/>
        <w:jc w:val="center"/>
        <w:rPr>
          <w:rFonts w:ascii="仿宋" w:hAnsi="仿宋" w:eastAsia="仿宋" w:cs="仿宋"/>
          <w:color w:val="auto"/>
        </w:rPr>
      </w:pPr>
    </w:p>
    <w:p w14:paraId="409BD205">
      <w:pPr>
        <w:pStyle w:val="29"/>
        <w:rPr>
          <w:rFonts w:ascii="仿宋" w:hAnsi="仿宋" w:eastAsia="仿宋" w:cs="仿宋"/>
          <w:color w:val="auto"/>
        </w:rPr>
      </w:pPr>
      <w:r>
        <w:rPr>
          <w:rFonts w:hint="eastAsia" w:ascii="仿宋" w:hAnsi="仿宋" w:eastAsia="仿宋" w:cs="仿宋"/>
          <w:color w:val="auto"/>
        </w:rPr>
        <w:t>注：</w:t>
      </w:r>
    </w:p>
    <w:p w14:paraId="416C7924">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29"/>
        <w:jc w:val="both"/>
        <w:rPr>
          <w:rFonts w:ascii="仿宋" w:hAnsi="仿宋" w:eastAsia="仿宋" w:cs="仿宋"/>
          <w:color w:val="auto"/>
          <w:sz w:val="32"/>
          <w:szCs w:val="32"/>
        </w:rPr>
      </w:pPr>
    </w:p>
    <w:p w14:paraId="1C9EBAB9">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22EE0D66">
      <w:pPr>
        <w:pStyle w:val="29"/>
        <w:jc w:val="center"/>
        <w:rPr>
          <w:rFonts w:ascii="仿宋" w:hAnsi="仿宋" w:eastAsia="仿宋" w:cs="仿宋"/>
          <w:b/>
          <w:bCs/>
          <w:color w:val="auto"/>
        </w:rPr>
      </w:pPr>
    </w:p>
    <w:p w14:paraId="354D5B25">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29"/>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8"/>
          <w:rFonts w:ascii="仿宋" w:hAnsi="仿宋" w:cs="仿宋"/>
          <w:b/>
          <w:szCs w:val="32"/>
        </w:rPr>
      </w:pPr>
      <w:r>
        <w:rPr>
          <w:rFonts w:hint="eastAsia" w:ascii="仿宋" w:hAnsi="仿宋" w:cs="仿宋"/>
          <w:szCs w:val="32"/>
        </w:rPr>
        <w:br w:type="page"/>
      </w:r>
      <w:bookmarkStart w:id="63" w:name="_Toc1074"/>
      <w:bookmarkStart w:id="64" w:name="_Toc23967"/>
      <w:bookmarkStart w:id="65" w:name="_Toc16435"/>
      <w:bookmarkStart w:id="66" w:name="_Toc2041"/>
      <w:bookmarkStart w:id="67" w:name="_Toc12967"/>
      <w:bookmarkStart w:id="68" w:name="_Toc26969"/>
      <w:r>
        <w:rPr>
          <w:rStyle w:val="38"/>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8"/>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7"/>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29"/>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8"/>
          <w:b/>
        </w:rPr>
      </w:pPr>
    </w:p>
    <w:p w14:paraId="0BE16B8E">
      <w:pPr>
        <w:pStyle w:val="3"/>
        <w:numPr>
          <w:ilvl w:val="0"/>
          <w:numId w:val="0"/>
        </w:numPr>
        <w:ind w:firstLine="3534" w:firstLineChars="1100"/>
        <w:jc w:val="both"/>
        <w:rPr>
          <w:rStyle w:val="38"/>
          <w:b/>
        </w:rPr>
      </w:pPr>
    </w:p>
    <w:p w14:paraId="4F07CD7D">
      <w:pPr>
        <w:pStyle w:val="3"/>
        <w:numPr>
          <w:ilvl w:val="0"/>
          <w:numId w:val="0"/>
        </w:numPr>
        <w:ind w:firstLine="3534" w:firstLineChars="1100"/>
        <w:jc w:val="both"/>
        <w:rPr>
          <w:rStyle w:val="38"/>
          <w:b/>
        </w:rPr>
      </w:pPr>
    </w:p>
    <w:p w14:paraId="5039777D">
      <w:pPr>
        <w:pStyle w:val="3"/>
        <w:numPr>
          <w:ilvl w:val="0"/>
          <w:numId w:val="0"/>
        </w:numPr>
        <w:ind w:firstLine="3534" w:firstLineChars="1100"/>
        <w:jc w:val="both"/>
        <w:rPr>
          <w:rStyle w:val="38"/>
          <w:b/>
        </w:rPr>
      </w:pPr>
    </w:p>
    <w:p w14:paraId="48346406">
      <w:pPr>
        <w:pStyle w:val="3"/>
        <w:numPr>
          <w:ilvl w:val="0"/>
          <w:numId w:val="0"/>
        </w:numPr>
        <w:ind w:firstLine="3534" w:firstLineChars="1100"/>
        <w:jc w:val="both"/>
        <w:rPr>
          <w:rStyle w:val="38"/>
          <w:b/>
        </w:rPr>
      </w:pPr>
    </w:p>
    <w:p w14:paraId="3CF2EC76">
      <w:pPr>
        <w:pStyle w:val="3"/>
        <w:numPr>
          <w:ilvl w:val="0"/>
          <w:numId w:val="0"/>
        </w:numPr>
        <w:ind w:firstLine="3534" w:firstLineChars="1100"/>
        <w:jc w:val="both"/>
        <w:rPr>
          <w:rStyle w:val="38"/>
          <w:b/>
        </w:rPr>
      </w:pPr>
    </w:p>
    <w:p w14:paraId="3FFEF3E9">
      <w:pPr>
        <w:pStyle w:val="3"/>
        <w:numPr>
          <w:ilvl w:val="0"/>
          <w:numId w:val="0"/>
        </w:numPr>
        <w:ind w:firstLine="3534" w:firstLineChars="1100"/>
        <w:jc w:val="both"/>
        <w:rPr>
          <w:rStyle w:val="38"/>
          <w:b/>
        </w:rPr>
      </w:pPr>
    </w:p>
    <w:p w14:paraId="5005FE04">
      <w:pPr>
        <w:pStyle w:val="3"/>
        <w:numPr>
          <w:ilvl w:val="0"/>
          <w:numId w:val="0"/>
        </w:numPr>
        <w:ind w:firstLine="3534" w:firstLineChars="1100"/>
        <w:jc w:val="both"/>
        <w:rPr>
          <w:rStyle w:val="38"/>
          <w:b/>
        </w:rPr>
      </w:pPr>
    </w:p>
    <w:p w14:paraId="7FEBA4AF">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7"/>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29"/>
        <w:jc w:val="center"/>
        <w:rPr>
          <w:rFonts w:ascii="仿宋" w:hAnsi="仿宋" w:eastAsia="仿宋" w:cs="仿宋"/>
          <w:color w:val="auto"/>
          <w:sz w:val="32"/>
          <w:szCs w:val="32"/>
        </w:rPr>
      </w:pPr>
    </w:p>
    <w:p w14:paraId="7A8FA0B6">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69" w:name="_Toc3871"/>
      <w:bookmarkStart w:id="70" w:name="_Toc32605"/>
      <w:bookmarkStart w:id="71" w:name="_Toc24494"/>
    </w:p>
    <w:p w14:paraId="1CBA6903">
      <w:pPr>
        <w:pStyle w:val="3"/>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14685"/>
      <w:bookmarkStart w:id="74" w:name="_Toc29032"/>
      <w:bookmarkStart w:id="75"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8"/>
        <w:tblW w:w="9337"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65"/>
        <w:gridCol w:w="2104"/>
        <w:gridCol w:w="2104"/>
        <w:gridCol w:w="2104"/>
      </w:tblGrid>
      <w:tr w14:paraId="13BC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0" w:type="dxa"/>
            <w:vAlign w:val="center"/>
          </w:tcPr>
          <w:p w14:paraId="0C6FB98C">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2065" w:type="dxa"/>
            <w:vAlign w:val="center"/>
          </w:tcPr>
          <w:p w14:paraId="7F4D0839">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2104" w:type="dxa"/>
            <w:vAlign w:val="center"/>
          </w:tcPr>
          <w:p w14:paraId="2516E86D">
            <w:pPr>
              <w:pStyle w:val="6"/>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2104" w:type="dxa"/>
            <w:vAlign w:val="center"/>
          </w:tcPr>
          <w:p w14:paraId="5863E0ED">
            <w:pPr>
              <w:pStyle w:val="6"/>
              <w:jc w:val="center"/>
              <w:rPr>
                <w:rFonts w:hint="eastAsia" w:ascii="仿宋" w:hAnsi="仿宋" w:eastAsia="仿宋" w:cs="仿宋"/>
                <w:sz w:val="24"/>
                <w:szCs w:val="24"/>
              </w:rPr>
            </w:pPr>
            <w:r>
              <w:rPr>
                <w:rFonts w:hint="eastAsia" w:ascii="仿宋" w:hAnsi="仿宋" w:eastAsia="仿宋" w:cs="仿宋"/>
                <w:sz w:val="24"/>
                <w:szCs w:val="24"/>
                <w:lang w:val="en-US" w:eastAsia="zh-CN"/>
              </w:rPr>
              <w:t>型号</w:t>
            </w:r>
          </w:p>
        </w:tc>
        <w:tc>
          <w:tcPr>
            <w:tcW w:w="2104" w:type="dxa"/>
            <w:vAlign w:val="center"/>
          </w:tcPr>
          <w:p w14:paraId="3CF94DED">
            <w:pPr>
              <w:pStyle w:val="6"/>
              <w:jc w:val="center"/>
              <w:rPr>
                <w:rFonts w:hint="eastAsia"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1FFB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60" w:type="dxa"/>
            <w:vAlign w:val="center"/>
          </w:tcPr>
          <w:p w14:paraId="7E893F26">
            <w:pPr>
              <w:pStyle w:val="6"/>
              <w:jc w:val="center"/>
              <w:rPr>
                <w:rFonts w:ascii="仿宋" w:hAnsi="仿宋" w:eastAsia="仿宋" w:cs="仿宋"/>
                <w:sz w:val="24"/>
                <w:szCs w:val="24"/>
              </w:rPr>
            </w:pPr>
            <w:r>
              <w:rPr>
                <w:rFonts w:hint="eastAsia" w:ascii="仿宋" w:hAnsi="仿宋" w:eastAsia="仿宋" w:cs="仿宋"/>
                <w:sz w:val="24"/>
                <w:szCs w:val="24"/>
              </w:rPr>
              <w:t>1</w:t>
            </w:r>
          </w:p>
        </w:tc>
        <w:tc>
          <w:tcPr>
            <w:tcW w:w="2065" w:type="dxa"/>
            <w:vAlign w:val="center"/>
          </w:tcPr>
          <w:p w14:paraId="24C61287">
            <w:pPr>
              <w:pStyle w:val="6"/>
              <w:jc w:val="center"/>
              <w:rPr>
                <w:rFonts w:ascii="仿宋" w:hAnsi="仿宋" w:eastAsia="仿宋" w:cs="仿宋"/>
                <w:sz w:val="24"/>
                <w:szCs w:val="24"/>
              </w:rPr>
            </w:pPr>
          </w:p>
        </w:tc>
        <w:tc>
          <w:tcPr>
            <w:tcW w:w="2104" w:type="dxa"/>
            <w:vAlign w:val="center"/>
          </w:tcPr>
          <w:p w14:paraId="152F4F26">
            <w:pPr>
              <w:pStyle w:val="6"/>
              <w:jc w:val="center"/>
              <w:rPr>
                <w:rFonts w:ascii="仿宋" w:hAnsi="仿宋" w:eastAsia="仿宋" w:cs="仿宋"/>
                <w:sz w:val="24"/>
                <w:szCs w:val="24"/>
              </w:rPr>
            </w:pPr>
          </w:p>
        </w:tc>
        <w:tc>
          <w:tcPr>
            <w:tcW w:w="2104" w:type="dxa"/>
            <w:vAlign w:val="center"/>
          </w:tcPr>
          <w:p w14:paraId="7EBC2981">
            <w:pPr>
              <w:pStyle w:val="6"/>
              <w:jc w:val="center"/>
              <w:rPr>
                <w:rFonts w:ascii="仿宋" w:hAnsi="仿宋" w:eastAsia="仿宋" w:cs="仿宋"/>
                <w:sz w:val="24"/>
                <w:szCs w:val="24"/>
              </w:rPr>
            </w:pPr>
          </w:p>
        </w:tc>
        <w:tc>
          <w:tcPr>
            <w:tcW w:w="2104" w:type="dxa"/>
            <w:vAlign w:val="center"/>
          </w:tcPr>
          <w:p w14:paraId="65607845">
            <w:pPr>
              <w:pStyle w:val="6"/>
              <w:jc w:val="center"/>
              <w:rPr>
                <w:rFonts w:ascii="仿宋" w:hAnsi="仿宋" w:eastAsia="仿宋" w:cs="仿宋"/>
                <w:sz w:val="24"/>
                <w:szCs w:val="24"/>
              </w:rPr>
            </w:pPr>
          </w:p>
        </w:tc>
      </w:tr>
      <w:tr w14:paraId="6A21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60" w:type="dxa"/>
            <w:vAlign w:val="center"/>
          </w:tcPr>
          <w:p w14:paraId="3FAFE560">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8377" w:type="dxa"/>
            <w:gridSpan w:val="4"/>
            <w:vAlign w:val="center"/>
          </w:tcPr>
          <w:p w14:paraId="453AEBD1">
            <w:pPr>
              <w:pStyle w:val="6"/>
              <w:jc w:val="left"/>
              <w:rPr>
                <w:rFonts w:hint="eastAsia" w:ascii="仿宋" w:hAnsi="仿宋" w:eastAsia="仿宋" w:cs="仿宋"/>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50389AA9">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69"/>
      <w:bookmarkEnd w:id="70"/>
      <w:bookmarkEnd w:id="71"/>
      <w:bookmarkEnd w:id="73"/>
      <w:bookmarkEnd w:id="74"/>
      <w:bookmarkEnd w:id="75"/>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5447"/>
      <w:bookmarkStart w:id="77" w:name="_Toc20691"/>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2A1AD30-B32F-40C9-885E-02074433EDE1}"/>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A7309073-B072-44EB-8944-8072CD2352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F64EEF0D-DEBB-44CA-A85A-1D257C138B6F}"/>
  </w:font>
  <w:font w:name="仿宋">
    <w:panose1 w:val="02010609060101010101"/>
    <w:charset w:val="86"/>
    <w:family w:val="modern"/>
    <w:pitch w:val="default"/>
    <w:sig w:usb0="800002BF" w:usb1="38CF7CFA" w:usb2="00000016" w:usb3="00000000" w:csb0="00040001" w:csb1="00000000"/>
    <w:embedRegular r:id="rId4" w:fontKey="{AF1A0073-7036-4D9F-B9DE-2E9378E5FBD8}"/>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5" w:fontKey="{75C4BC10-E75B-4751-AA44-3CCA27B9C301}"/>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BFE816C4"/>
    <w:multiLevelType w:val="singleLevel"/>
    <w:tmpl w:val="BFE816C4"/>
    <w:lvl w:ilvl="0" w:tentative="0">
      <w:start w:val="1"/>
      <w:numFmt w:val="chineseCounting"/>
      <w:suff w:val="nothing"/>
      <w:lvlText w:val="%1、"/>
      <w:lvlJc w:val="left"/>
      <w:rPr>
        <w:rFonts w:hint="eastAsia"/>
      </w:rPr>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7">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8">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9">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0">
    <w:nsid w:val="FCA5E3A8"/>
    <w:multiLevelType w:val="singleLevel"/>
    <w:tmpl w:val="FCA5E3A8"/>
    <w:lvl w:ilvl="0" w:tentative="0">
      <w:start w:val="1"/>
      <w:numFmt w:val="decimal"/>
      <w:suff w:val="nothing"/>
      <w:lvlText w:val="（%1）"/>
      <w:lvlJc w:val="left"/>
      <w:pPr>
        <w:ind w:left="-210"/>
      </w:pPr>
    </w:lvl>
  </w:abstractNum>
  <w:abstractNum w:abstractNumId="11">
    <w:nsid w:val="1F712D09"/>
    <w:multiLevelType w:val="singleLevel"/>
    <w:tmpl w:val="1F712D09"/>
    <w:lvl w:ilvl="0" w:tentative="0">
      <w:start w:val="1"/>
      <w:numFmt w:val="decimal"/>
      <w:lvlText w:val="(%1)"/>
      <w:lvlJc w:val="left"/>
      <w:pPr>
        <w:ind w:left="218" w:hanging="425"/>
      </w:pPr>
      <w:rPr>
        <w:rFonts w:hint="default"/>
      </w:rPr>
    </w:lvl>
  </w:abstractNum>
  <w:abstractNum w:abstractNumId="12">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3">
    <w:nsid w:val="36ED63B3"/>
    <w:multiLevelType w:val="multilevel"/>
    <w:tmpl w:val="36ED63B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A69C7D9"/>
    <w:multiLevelType w:val="singleLevel"/>
    <w:tmpl w:val="3A69C7D9"/>
    <w:lvl w:ilvl="0" w:tentative="0">
      <w:start w:val="1"/>
      <w:numFmt w:val="decimal"/>
      <w:lvlText w:val="(%1)"/>
      <w:lvlJc w:val="left"/>
      <w:pPr>
        <w:ind w:left="425" w:hanging="425"/>
      </w:pPr>
      <w:rPr>
        <w:rFonts w:hint="default"/>
      </w:r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6">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7">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8">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2"/>
  </w:num>
  <w:num w:numId="2">
    <w:abstractNumId w:val="9"/>
  </w:num>
  <w:num w:numId="3">
    <w:abstractNumId w:val="15"/>
  </w:num>
  <w:num w:numId="4">
    <w:abstractNumId w:val="18"/>
  </w:num>
  <w:num w:numId="5">
    <w:abstractNumId w:val="11"/>
  </w:num>
  <w:num w:numId="6">
    <w:abstractNumId w:val="17"/>
  </w:num>
  <w:num w:numId="7">
    <w:abstractNumId w:val="14"/>
  </w:num>
  <w:num w:numId="8">
    <w:abstractNumId w:val="8"/>
  </w:num>
  <w:num w:numId="9">
    <w:abstractNumId w:val="16"/>
  </w:num>
  <w:num w:numId="10">
    <w:abstractNumId w:val="1"/>
  </w:num>
  <w:num w:numId="11">
    <w:abstractNumId w:val="5"/>
  </w:num>
  <w:num w:numId="12">
    <w:abstractNumId w:val="0"/>
  </w:num>
  <w:num w:numId="13">
    <w:abstractNumId w:val="2"/>
  </w:num>
  <w:num w:numId="14">
    <w:abstractNumId w:val="7"/>
  </w:num>
  <w:num w:numId="15">
    <w:abstractNumId w:val="3"/>
  </w:num>
  <w:num w:numId="16">
    <w:abstractNumId w:val="6"/>
  </w:num>
  <w:num w:numId="17">
    <w:abstractNumId w:val="10"/>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37B73C5"/>
    <w:rsid w:val="038E0C11"/>
    <w:rsid w:val="03CA1FAF"/>
    <w:rsid w:val="041D546A"/>
    <w:rsid w:val="053034D0"/>
    <w:rsid w:val="058C78B0"/>
    <w:rsid w:val="05D12E0E"/>
    <w:rsid w:val="05E13064"/>
    <w:rsid w:val="06043A48"/>
    <w:rsid w:val="06DD0510"/>
    <w:rsid w:val="07275343"/>
    <w:rsid w:val="078909F5"/>
    <w:rsid w:val="0797664C"/>
    <w:rsid w:val="07CA7DEC"/>
    <w:rsid w:val="08722396"/>
    <w:rsid w:val="093A3733"/>
    <w:rsid w:val="095073FA"/>
    <w:rsid w:val="0A2B3D50"/>
    <w:rsid w:val="0A5B6C7C"/>
    <w:rsid w:val="0ABB1787"/>
    <w:rsid w:val="0B223ED3"/>
    <w:rsid w:val="0B395F4B"/>
    <w:rsid w:val="0B4276FF"/>
    <w:rsid w:val="0B4508AE"/>
    <w:rsid w:val="0B574F31"/>
    <w:rsid w:val="0BF34D9F"/>
    <w:rsid w:val="0C375F99"/>
    <w:rsid w:val="0CD33899"/>
    <w:rsid w:val="0DA80FAA"/>
    <w:rsid w:val="0DAF6962"/>
    <w:rsid w:val="0DCE2B6B"/>
    <w:rsid w:val="0E0B7FF0"/>
    <w:rsid w:val="0E9A4D55"/>
    <w:rsid w:val="0F23034D"/>
    <w:rsid w:val="0F522C33"/>
    <w:rsid w:val="0F84096B"/>
    <w:rsid w:val="0FA80874"/>
    <w:rsid w:val="103462C0"/>
    <w:rsid w:val="10453CDC"/>
    <w:rsid w:val="111E5122"/>
    <w:rsid w:val="117A5014"/>
    <w:rsid w:val="11B31C24"/>
    <w:rsid w:val="11C15BEE"/>
    <w:rsid w:val="127F05A0"/>
    <w:rsid w:val="12E75E98"/>
    <w:rsid w:val="12EA1E51"/>
    <w:rsid w:val="136D78F8"/>
    <w:rsid w:val="13D35A4E"/>
    <w:rsid w:val="13E56991"/>
    <w:rsid w:val="143F1847"/>
    <w:rsid w:val="14522278"/>
    <w:rsid w:val="146C3D6E"/>
    <w:rsid w:val="14A910E0"/>
    <w:rsid w:val="14EF122E"/>
    <w:rsid w:val="15C26E1F"/>
    <w:rsid w:val="15DC53AD"/>
    <w:rsid w:val="162A4F7D"/>
    <w:rsid w:val="170948EF"/>
    <w:rsid w:val="17130116"/>
    <w:rsid w:val="17887E32"/>
    <w:rsid w:val="17F1147E"/>
    <w:rsid w:val="17FC09D2"/>
    <w:rsid w:val="19847FC3"/>
    <w:rsid w:val="1994787E"/>
    <w:rsid w:val="1A586B54"/>
    <w:rsid w:val="1AEF347F"/>
    <w:rsid w:val="1B3B2C45"/>
    <w:rsid w:val="1D610D61"/>
    <w:rsid w:val="1DD000AF"/>
    <w:rsid w:val="1DD066D7"/>
    <w:rsid w:val="1DF5197B"/>
    <w:rsid w:val="1E09745A"/>
    <w:rsid w:val="1E14234D"/>
    <w:rsid w:val="1E8F4CF1"/>
    <w:rsid w:val="1F4F7C3B"/>
    <w:rsid w:val="1F920200"/>
    <w:rsid w:val="1FEA3A1E"/>
    <w:rsid w:val="20D97009"/>
    <w:rsid w:val="210C2FB0"/>
    <w:rsid w:val="212005B5"/>
    <w:rsid w:val="21501BF0"/>
    <w:rsid w:val="21521ECD"/>
    <w:rsid w:val="2173335D"/>
    <w:rsid w:val="22807EAE"/>
    <w:rsid w:val="23282554"/>
    <w:rsid w:val="23563407"/>
    <w:rsid w:val="23791F56"/>
    <w:rsid w:val="249F101D"/>
    <w:rsid w:val="250334A1"/>
    <w:rsid w:val="253A4D8F"/>
    <w:rsid w:val="257858B7"/>
    <w:rsid w:val="25BD312B"/>
    <w:rsid w:val="26224FFB"/>
    <w:rsid w:val="262C2FF8"/>
    <w:rsid w:val="26614BE2"/>
    <w:rsid w:val="26A655F4"/>
    <w:rsid w:val="27970033"/>
    <w:rsid w:val="28094EEC"/>
    <w:rsid w:val="29502FD4"/>
    <w:rsid w:val="298E3DBB"/>
    <w:rsid w:val="29A078DB"/>
    <w:rsid w:val="29C5318E"/>
    <w:rsid w:val="29C74208"/>
    <w:rsid w:val="29F103B3"/>
    <w:rsid w:val="2A3335F4"/>
    <w:rsid w:val="2AAD33E1"/>
    <w:rsid w:val="2AEF232A"/>
    <w:rsid w:val="2AF54989"/>
    <w:rsid w:val="2B2D7144"/>
    <w:rsid w:val="2B563B49"/>
    <w:rsid w:val="2BD274F4"/>
    <w:rsid w:val="2C7C33D1"/>
    <w:rsid w:val="2C9A0A9E"/>
    <w:rsid w:val="2CC93AF1"/>
    <w:rsid w:val="2CDF3C0F"/>
    <w:rsid w:val="2CE462F8"/>
    <w:rsid w:val="2DA70D65"/>
    <w:rsid w:val="2E8822E7"/>
    <w:rsid w:val="2F966F61"/>
    <w:rsid w:val="305F1EED"/>
    <w:rsid w:val="30A901D0"/>
    <w:rsid w:val="30BE31DA"/>
    <w:rsid w:val="31F51A59"/>
    <w:rsid w:val="32724DD0"/>
    <w:rsid w:val="32787627"/>
    <w:rsid w:val="329655CE"/>
    <w:rsid w:val="32AC3E17"/>
    <w:rsid w:val="33C24ADF"/>
    <w:rsid w:val="343706EB"/>
    <w:rsid w:val="351A08D0"/>
    <w:rsid w:val="357519FC"/>
    <w:rsid w:val="35A61797"/>
    <w:rsid w:val="35D74205"/>
    <w:rsid w:val="367D6EF4"/>
    <w:rsid w:val="371E7B30"/>
    <w:rsid w:val="37BF3B20"/>
    <w:rsid w:val="380B5401"/>
    <w:rsid w:val="38323B02"/>
    <w:rsid w:val="38AE5E8C"/>
    <w:rsid w:val="3A335BDD"/>
    <w:rsid w:val="3A900FE8"/>
    <w:rsid w:val="3A973F7E"/>
    <w:rsid w:val="3B4E7DFC"/>
    <w:rsid w:val="3C1063F2"/>
    <w:rsid w:val="3CBC5C91"/>
    <w:rsid w:val="3D375AA1"/>
    <w:rsid w:val="3D931F15"/>
    <w:rsid w:val="3EA40469"/>
    <w:rsid w:val="3F6C393F"/>
    <w:rsid w:val="3FA84948"/>
    <w:rsid w:val="3FE34CD0"/>
    <w:rsid w:val="41600431"/>
    <w:rsid w:val="42075FF8"/>
    <w:rsid w:val="42434B77"/>
    <w:rsid w:val="42D94E43"/>
    <w:rsid w:val="42E77C3D"/>
    <w:rsid w:val="4335673E"/>
    <w:rsid w:val="43B34232"/>
    <w:rsid w:val="43C401ED"/>
    <w:rsid w:val="44A32AC2"/>
    <w:rsid w:val="452C0E08"/>
    <w:rsid w:val="454937BA"/>
    <w:rsid w:val="46271B24"/>
    <w:rsid w:val="46284338"/>
    <w:rsid w:val="465B6B84"/>
    <w:rsid w:val="465D0053"/>
    <w:rsid w:val="468567BB"/>
    <w:rsid w:val="4710374A"/>
    <w:rsid w:val="477F61D9"/>
    <w:rsid w:val="4782487D"/>
    <w:rsid w:val="47F36CDA"/>
    <w:rsid w:val="480756B2"/>
    <w:rsid w:val="483002E2"/>
    <w:rsid w:val="489F1E0A"/>
    <w:rsid w:val="48D62926"/>
    <w:rsid w:val="49344560"/>
    <w:rsid w:val="495751DE"/>
    <w:rsid w:val="497004D0"/>
    <w:rsid w:val="4AB820A2"/>
    <w:rsid w:val="4B4F618D"/>
    <w:rsid w:val="4BAD0151"/>
    <w:rsid w:val="4BD854D0"/>
    <w:rsid w:val="4C8F75A2"/>
    <w:rsid w:val="4CB701C3"/>
    <w:rsid w:val="4D4C612C"/>
    <w:rsid w:val="4D7F5185"/>
    <w:rsid w:val="4D7F6DB0"/>
    <w:rsid w:val="4E8C008E"/>
    <w:rsid w:val="4F784E82"/>
    <w:rsid w:val="4FAB2261"/>
    <w:rsid w:val="4FD14828"/>
    <w:rsid w:val="506A72A7"/>
    <w:rsid w:val="50771A9C"/>
    <w:rsid w:val="52B04438"/>
    <w:rsid w:val="52B21B59"/>
    <w:rsid w:val="52EC23F5"/>
    <w:rsid w:val="53854CE8"/>
    <w:rsid w:val="53BF0A7B"/>
    <w:rsid w:val="5455382C"/>
    <w:rsid w:val="545E542E"/>
    <w:rsid w:val="566B5FD6"/>
    <w:rsid w:val="56A53892"/>
    <w:rsid w:val="56FB3CBC"/>
    <w:rsid w:val="5728175E"/>
    <w:rsid w:val="5734171E"/>
    <w:rsid w:val="57BE2E73"/>
    <w:rsid w:val="57C512E5"/>
    <w:rsid w:val="586B0701"/>
    <w:rsid w:val="58BD4DB3"/>
    <w:rsid w:val="59286AAB"/>
    <w:rsid w:val="59710D46"/>
    <w:rsid w:val="59B52D28"/>
    <w:rsid w:val="5A831663"/>
    <w:rsid w:val="5B243E89"/>
    <w:rsid w:val="5B320CC3"/>
    <w:rsid w:val="5B800F26"/>
    <w:rsid w:val="5B9C032B"/>
    <w:rsid w:val="5C124930"/>
    <w:rsid w:val="5C4A7838"/>
    <w:rsid w:val="5EB9456E"/>
    <w:rsid w:val="5EFC3EB9"/>
    <w:rsid w:val="5F796A42"/>
    <w:rsid w:val="5FA25E8E"/>
    <w:rsid w:val="5FB711E9"/>
    <w:rsid w:val="60605BAC"/>
    <w:rsid w:val="60C53B7A"/>
    <w:rsid w:val="60E308E3"/>
    <w:rsid w:val="615547CC"/>
    <w:rsid w:val="62330506"/>
    <w:rsid w:val="625B2157"/>
    <w:rsid w:val="62C51434"/>
    <w:rsid w:val="632E2511"/>
    <w:rsid w:val="63553057"/>
    <w:rsid w:val="63A9427A"/>
    <w:rsid w:val="63AB062A"/>
    <w:rsid w:val="63C60FC0"/>
    <w:rsid w:val="63C619D1"/>
    <w:rsid w:val="63D462B1"/>
    <w:rsid w:val="641A3596"/>
    <w:rsid w:val="645F11DF"/>
    <w:rsid w:val="647267C2"/>
    <w:rsid w:val="647C6435"/>
    <w:rsid w:val="64BE50E6"/>
    <w:rsid w:val="65B53D15"/>
    <w:rsid w:val="65E33468"/>
    <w:rsid w:val="65E40ADA"/>
    <w:rsid w:val="66330B86"/>
    <w:rsid w:val="66A70F60"/>
    <w:rsid w:val="66B43C9A"/>
    <w:rsid w:val="66E22203"/>
    <w:rsid w:val="67006B4C"/>
    <w:rsid w:val="67133952"/>
    <w:rsid w:val="67330CCC"/>
    <w:rsid w:val="678F3DBF"/>
    <w:rsid w:val="67B0759F"/>
    <w:rsid w:val="67C95196"/>
    <w:rsid w:val="689F14E3"/>
    <w:rsid w:val="69D50CF4"/>
    <w:rsid w:val="6A0635D8"/>
    <w:rsid w:val="6A083A52"/>
    <w:rsid w:val="6AA97CAB"/>
    <w:rsid w:val="6AD401BA"/>
    <w:rsid w:val="6C487AFD"/>
    <w:rsid w:val="6CB24363"/>
    <w:rsid w:val="6D551EC8"/>
    <w:rsid w:val="6DA52693"/>
    <w:rsid w:val="6DE728CA"/>
    <w:rsid w:val="6E182D60"/>
    <w:rsid w:val="6FA23F69"/>
    <w:rsid w:val="6FCA0EA6"/>
    <w:rsid w:val="6FCF0795"/>
    <w:rsid w:val="6FFD6D35"/>
    <w:rsid w:val="70076B11"/>
    <w:rsid w:val="70480305"/>
    <w:rsid w:val="71646B2B"/>
    <w:rsid w:val="720756B6"/>
    <w:rsid w:val="72D75444"/>
    <w:rsid w:val="73634FBB"/>
    <w:rsid w:val="73DD2C3C"/>
    <w:rsid w:val="741C016E"/>
    <w:rsid w:val="743E30A2"/>
    <w:rsid w:val="745F66ED"/>
    <w:rsid w:val="752F0ACE"/>
    <w:rsid w:val="75306550"/>
    <w:rsid w:val="75331EE9"/>
    <w:rsid w:val="754D1D92"/>
    <w:rsid w:val="75955757"/>
    <w:rsid w:val="75AE290D"/>
    <w:rsid w:val="75BD46DB"/>
    <w:rsid w:val="764A3CD3"/>
    <w:rsid w:val="76536663"/>
    <w:rsid w:val="76C620A3"/>
    <w:rsid w:val="7763329E"/>
    <w:rsid w:val="77BD11A4"/>
    <w:rsid w:val="77F474AF"/>
    <w:rsid w:val="78012883"/>
    <w:rsid w:val="78202D4E"/>
    <w:rsid w:val="78273E08"/>
    <w:rsid w:val="78686E6C"/>
    <w:rsid w:val="78E44CAE"/>
    <w:rsid w:val="79967A89"/>
    <w:rsid w:val="79AB4A88"/>
    <w:rsid w:val="7B550DA5"/>
    <w:rsid w:val="7B5F74F8"/>
    <w:rsid w:val="7B690630"/>
    <w:rsid w:val="7BB6153E"/>
    <w:rsid w:val="7CE74C9B"/>
    <w:rsid w:val="7CF47CCC"/>
    <w:rsid w:val="7D040AB6"/>
    <w:rsid w:val="7D4119E6"/>
    <w:rsid w:val="7E6C48CB"/>
    <w:rsid w:val="7E8C541C"/>
    <w:rsid w:val="7EB9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next w:val="7"/>
    <w:qFormat/>
    <w:uiPriority w:val="0"/>
    <w:pPr>
      <w:spacing w:after="120"/>
    </w:pPr>
  </w:style>
  <w:style w:type="paragraph" w:styleId="7">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0"/>
    <w:qFormat/>
    <w:uiPriority w:val="0"/>
    <w:pPr>
      <w:spacing w:after="120" w:line="480" w:lineRule="auto"/>
      <w:ind w:left="420" w:leftChars="200"/>
    </w:pPr>
    <w:rPr>
      <w:szCs w:val="20"/>
    </w:rPr>
  </w:style>
  <w:style w:type="paragraph" w:styleId="11">
    <w:name w:val="Balloon Text"/>
    <w:basedOn w:val="1"/>
    <w:link w:val="37"/>
    <w:qFormat/>
    <w:uiPriority w:val="0"/>
    <w:rPr>
      <w:sz w:val="18"/>
      <w:szCs w:val="18"/>
    </w:rPr>
  </w:style>
  <w:style w:type="paragraph" w:styleId="12">
    <w:name w:val="footer"/>
    <w:basedOn w:val="1"/>
    <w:link w:val="42"/>
    <w:unhideWhenUsed/>
    <w:qFormat/>
    <w:uiPriority w:val="99"/>
    <w:pPr>
      <w:tabs>
        <w:tab w:val="center" w:pos="4153"/>
        <w:tab w:val="right" w:pos="8306"/>
      </w:tabs>
      <w:snapToGrid w:val="0"/>
      <w:jc w:val="left"/>
    </w:pPr>
    <w:rPr>
      <w:sz w:val="18"/>
      <w:szCs w:val="18"/>
    </w:rPr>
  </w:style>
  <w:style w:type="paragraph" w:styleId="13">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5"/>
    <w:next w:val="5"/>
    <w:link w:val="36"/>
    <w:qFormat/>
    <w:uiPriority w:val="0"/>
    <w:rPr>
      <w:b/>
      <w:bCs/>
    </w:rPr>
  </w:style>
  <w:style w:type="paragraph" w:styleId="16">
    <w:name w:val="Body Text First Indent 2"/>
    <w:basedOn w:val="8"/>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10"/>
    <w:qFormat/>
    <w:uiPriority w:val="0"/>
    <w:rPr>
      <w:szCs w:val="20"/>
    </w:rPr>
  </w:style>
  <w:style w:type="character" w:customStyle="1" w:styleId="31">
    <w:name w:val="正文首行缩进 字符"/>
    <w:link w:val="7"/>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5"/>
    <w:qFormat/>
    <w:uiPriority w:val="0"/>
    <w:rPr>
      <w:b/>
      <w:bCs/>
      <w:kern w:val="2"/>
      <w:sz w:val="21"/>
      <w:szCs w:val="22"/>
    </w:rPr>
  </w:style>
  <w:style w:type="character" w:customStyle="1" w:styleId="37">
    <w:name w:val="批注框文本 字符"/>
    <w:basedOn w:val="19"/>
    <w:link w:val="11"/>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2"/>
    <w:qFormat/>
    <w:uiPriority w:val="99"/>
    <w:rPr>
      <w:rFonts w:asciiTheme="minorHAnsi" w:hAnsiTheme="minorHAnsi" w:eastAsiaTheme="minorEastAsia" w:cstheme="minorBidi"/>
      <w:kern w:val="2"/>
      <w:sz w:val="18"/>
      <w:szCs w:val="18"/>
    </w:rPr>
  </w:style>
  <w:style w:type="character" w:customStyle="1" w:styleId="43">
    <w:name w:val="页眉 字符"/>
    <w:basedOn w:val="19"/>
    <w:link w:val="13"/>
    <w:qFormat/>
    <w:uiPriority w:val="99"/>
    <w:rPr>
      <w:rFonts w:asciiTheme="minorHAnsi" w:hAnsiTheme="minorHAnsi" w:eastAsiaTheme="minorEastAsia" w:cstheme="minorBidi"/>
      <w:kern w:val="2"/>
      <w:sz w:val="18"/>
      <w:szCs w:val="18"/>
    </w:rPr>
  </w:style>
  <w:style w:type="character" w:customStyle="1" w:styleId="44">
    <w:name w:val="font21"/>
    <w:basedOn w:val="19"/>
    <w:qFormat/>
    <w:uiPriority w:val="0"/>
    <w:rPr>
      <w:rFonts w:hint="eastAsia" w:ascii="宋体" w:hAnsi="宋体" w:eastAsia="宋体" w:cs="宋体"/>
      <w:color w:val="363641"/>
      <w:sz w:val="24"/>
      <w:szCs w:val="24"/>
      <w:u w:val="none"/>
    </w:rPr>
  </w:style>
  <w:style w:type="paragraph" w:customStyle="1" w:styleId="45">
    <w:name w:val="Table Text"/>
    <w:basedOn w:val="1"/>
    <w:semiHidden/>
    <w:qFormat/>
    <w:uiPriority w:val="0"/>
    <w:rPr>
      <w:rFonts w:ascii="宋体" w:hAnsi="宋体" w:eastAsia="宋体" w:cs="宋体"/>
      <w:sz w:val="20"/>
      <w:szCs w:val="20"/>
      <w:lang w:val="en-US" w:eastAsia="en-US" w:bidi="ar-SA"/>
    </w:rPr>
  </w:style>
  <w:style w:type="paragraph" w:styleId="4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null3"/>
    <w:qFormat/>
    <w:uiPriority w:val="0"/>
    <w:rPr>
      <w:rFonts w:hint="eastAsia" w:ascii="Calibri" w:hAnsi="Calibri" w:eastAsia="宋体" w:cs="Times New Roman"/>
      <w:kern w:val="0"/>
      <w:sz w:val="20"/>
      <w:szCs w:val="20"/>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26</Pages>
  <Words>115</Words>
  <Characters>128</Characters>
  <Lines>58</Lines>
  <Paragraphs>16</Paragraphs>
  <TotalTime>5</TotalTime>
  <ScaleCrop>false</ScaleCrop>
  <LinksUpToDate>false</LinksUpToDate>
  <CharactersWithSpaces>148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2026-04-28T03:18:32Z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