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129"/>
        <w:gridCol w:w="2129"/>
        <w:gridCol w:w="2129"/>
      </w:tblGrid>
      <w:tr w14:paraId="39E4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dxa"/>
          </w:tcPr>
          <w:p w14:paraId="3AEE4FF2">
            <w:pPr>
              <w:jc w:val="center"/>
              <w:rPr>
                <w:rFonts w:hint="default" w:eastAsiaTheme="minorEastAsia"/>
                <w:b/>
                <w:sz w:val="21"/>
                <w:szCs w:val="21"/>
                <w:vertAlign w:val="baseline"/>
                <w:lang w:val="en-US" w:eastAsia="zh-CN"/>
              </w:rPr>
            </w:pPr>
            <w:r>
              <w:rPr>
                <w:rFonts w:hint="eastAsia" w:asciiTheme="minorHAnsi" w:eastAsiaTheme="minorEastAsia"/>
                <w:b/>
                <w:sz w:val="21"/>
                <w:szCs w:val="21"/>
                <w:vertAlign w:val="baseline"/>
                <w:lang w:val="en-US" w:eastAsia="zh-CN"/>
              </w:rPr>
              <w:t>主管部门负责人</w:t>
            </w:r>
          </w:p>
        </w:tc>
        <w:tc>
          <w:tcPr>
            <w:tcW w:w="2129" w:type="dxa"/>
          </w:tcPr>
          <w:p w14:paraId="345EC144">
            <w:pPr>
              <w:jc w:val="center"/>
              <w:rPr>
                <w:rFonts w:hint="default" w:eastAsiaTheme="minorEastAsia"/>
                <w:b/>
                <w:sz w:val="21"/>
                <w:szCs w:val="21"/>
                <w:vertAlign w:val="baseline"/>
                <w:lang w:val="en-US" w:eastAsia="zh-CN"/>
              </w:rPr>
            </w:pPr>
            <w:r>
              <w:rPr>
                <w:rFonts w:hint="eastAsia" w:asciiTheme="minorHAnsi" w:eastAsiaTheme="minorEastAsia"/>
                <w:b/>
                <w:sz w:val="21"/>
                <w:szCs w:val="21"/>
                <w:vertAlign w:val="baseline"/>
                <w:lang w:val="en-US" w:eastAsia="zh-CN"/>
              </w:rPr>
              <w:t>主管部门分管院领导</w:t>
            </w:r>
          </w:p>
        </w:tc>
        <w:tc>
          <w:tcPr>
            <w:tcW w:w="2129" w:type="dxa"/>
          </w:tcPr>
          <w:p w14:paraId="6F9BFBCB">
            <w:pPr>
              <w:jc w:val="center"/>
              <w:rPr>
                <w:rFonts w:hint="default" w:eastAsiaTheme="minorEastAsia"/>
                <w:b/>
                <w:sz w:val="21"/>
                <w:szCs w:val="21"/>
                <w:vertAlign w:val="baseline"/>
                <w:lang w:val="en-US" w:eastAsia="zh-CN"/>
              </w:rPr>
            </w:pPr>
            <w:r>
              <w:rPr>
                <w:rFonts w:hint="eastAsia" w:asciiTheme="minorHAnsi" w:eastAsiaTheme="minorEastAsia"/>
                <w:b/>
                <w:sz w:val="21"/>
                <w:szCs w:val="21"/>
                <w:vertAlign w:val="baseline"/>
                <w:lang w:val="en-US" w:eastAsia="zh-CN"/>
              </w:rPr>
              <w:t>采购科负责人</w:t>
            </w:r>
          </w:p>
        </w:tc>
        <w:tc>
          <w:tcPr>
            <w:tcW w:w="2129" w:type="dxa"/>
          </w:tcPr>
          <w:p w14:paraId="417C6753">
            <w:pPr>
              <w:jc w:val="center"/>
              <w:rPr>
                <w:rFonts w:hint="eastAsia" w:eastAsiaTheme="minorEastAsia"/>
                <w:b/>
                <w:sz w:val="21"/>
                <w:szCs w:val="21"/>
                <w:vertAlign w:val="baseline"/>
                <w:lang w:val="en-US" w:eastAsia="zh-CN"/>
              </w:rPr>
            </w:pPr>
            <w:r>
              <w:rPr>
                <w:rFonts w:hint="eastAsia" w:asciiTheme="minorHAnsi" w:eastAsiaTheme="minorEastAsia"/>
                <w:b/>
                <w:sz w:val="21"/>
                <w:szCs w:val="21"/>
                <w:vertAlign w:val="baseline"/>
                <w:lang w:val="en-US" w:eastAsia="zh-CN"/>
              </w:rPr>
              <w:t>采购科分管院领导</w:t>
            </w:r>
          </w:p>
        </w:tc>
      </w:tr>
      <w:tr w14:paraId="1B2A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dxa"/>
          </w:tcPr>
          <w:p w14:paraId="021BC3D2">
            <w:pPr>
              <w:jc w:val="center"/>
              <w:rPr>
                <w:rFonts w:hint="eastAsia"/>
                <w:b/>
                <w:sz w:val="52"/>
                <w:szCs w:val="52"/>
                <w:vertAlign w:val="baseline"/>
              </w:rPr>
            </w:pPr>
          </w:p>
        </w:tc>
        <w:tc>
          <w:tcPr>
            <w:tcW w:w="2129" w:type="dxa"/>
          </w:tcPr>
          <w:p w14:paraId="751490FF">
            <w:pPr>
              <w:jc w:val="center"/>
              <w:rPr>
                <w:rFonts w:hint="eastAsia"/>
                <w:b/>
                <w:sz w:val="52"/>
                <w:szCs w:val="52"/>
                <w:vertAlign w:val="baseline"/>
              </w:rPr>
            </w:pPr>
          </w:p>
        </w:tc>
        <w:tc>
          <w:tcPr>
            <w:tcW w:w="2129" w:type="dxa"/>
          </w:tcPr>
          <w:p w14:paraId="39190E3C">
            <w:pPr>
              <w:jc w:val="center"/>
              <w:rPr>
                <w:rFonts w:hint="eastAsia"/>
                <w:b/>
                <w:sz w:val="52"/>
                <w:szCs w:val="52"/>
                <w:vertAlign w:val="baseline"/>
              </w:rPr>
            </w:pPr>
          </w:p>
        </w:tc>
        <w:tc>
          <w:tcPr>
            <w:tcW w:w="2129" w:type="dxa"/>
          </w:tcPr>
          <w:p w14:paraId="38E721B3">
            <w:pPr>
              <w:jc w:val="center"/>
              <w:rPr>
                <w:rFonts w:hint="eastAsia"/>
                <w:b/>
                <w:sz w:val="52"/>
                <w:szCs w:val="52"/>
                <w:vertAlign w:val="baseline"/>
              </w:rPr>
            </w:pPr>
          </w:p>
        </w:tc>
      </w:tr>
    </w:tbl>
    <w:p w14:paraId="3D3ADDA1">
      <w:pPr>
        <w:spacing w:before="1109" w:beforeLines="350" w:after="1109" w:afterLines="350" w:line="800" w:lineRule="exact"/>
        <w:ind w:firstLine="2088" w:firstLineChars="400"/>
        <w:jc w:val="both"/>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709CB899">
      <w:pPr>
        <w:jc w:val="both"/>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59号</w:t>
      </w:r>
      <w:bookmarkStart w:id="78" w:name="_GoBack"/>
      <w:bookmarkEnd w:id="78"/>
    </w:p>
    <w:p w14:paraId="4002C554">
      <w:pPr>
        <w:ind w:firstLine="723" w:firstLineChars="200"/>
        <w:rPr>
          <w:rFonts w:hint="eastAsia" w:ascii="宋体" w:hAnsi="宋体"/>
          <w:b/>
          <w:color w:val="000000"/>
          <w:sz w:val="36"/>
        </w:rPr>
      </w:pPr>
    </w:p>
    <w:p w14:paraId="1444A0CC">
      <w:pPr>
        <w:rPr>
          <w:rFonts w:hint="eastAsia" w:ascii="宋体" w:hAnsi="宋体"/>
          <w:b/>
          <w:color w:val="000000"/>
          <w:sz w:val="36"/>
          <w:lang w:val="en-US" w:eastAsia="zh-CN"/>
        </w:rPr>
      </w:pPr>
      <w:r>
        <w:rPr>
          <w:rFonts w:hint="eastAsia" w:ascii="宋体" w:hAnsi="宋体"/>
          <w:b/>
          <w:color w:val="000000"/>
          <w:sz w:val="36"/>
        </w:rPr>
        <w:t>项目名称：</w:t>
      </w:r>
      <w:r>
        <w:rPr>
          <w:rFonts w:hint="eastAsia" w:ascii="宋体" w:hAnsi="宋体"/>
          <w:b/>
          <w:color w:val="000000"/>
          <w:sz w:val="36"/>
          <w:lang w:val="en-US" w:eastAsia="zh-CN"/>
        </w:rPr>
        <w:t>论文文本相似度检测与AIGC检测服务</w:t>
      </w:r>
    </w:p>
    <w:p w14:paraId="250C7BBF">
      <w:pPr>
        <w:ind w:firstLine="723" w:firstLineChars="200"/>
        <w:rPr>
          <w:rFonts w:hint="eastAsia" w:ascii="宋体" w:hAnsi="宋体"/>
          <w:b/>
          <w:color w:val="000000"/>
          <w:sz w:val="36"/>
        </w:rPr>
      </w:pPr>
    </w:p>
    <w:p w14:paraId="203576E3">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4</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firstLine="1320" w:firstLineChars="600"/>
              <w:rPr>
                <w:rFonts w:hint="eastAsia" w:ascii="仿宋" w:hAnsi="仿宋" w:eastAsia="仿宋" w:cs="仿宋"/>
                <w:sz w:val="22"/>
              </w:rPr>
            </w:pPr>
            <w:r>
              <w:rPr>
                <w:rFonts w:hint="eastAsia" w:ascii="仿宋" w:hAnsi="仿宋" w:eastAsia="仿宋" w:cs="仿宋"/>
                <w:sz w:val="22"/>
                <w:lang w:val="en-US" w:eastAsia="zh-CN"/>
              </w:rPr>
              <w:t>论文文本相似度检测与AIGC检测服务</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59号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5万/年</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529A0668">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科技科</w:t>
            </w:r>
            <w:r>
              <w:rPr>
                <w:rFonts w:hint="eastAsia" w:ascii="仿宋" w:hAnsi="仿宋" w:eastAsia="仿宋" w:cs="仿宋"/>
                <w:b/>
                <w:bCs/>
                <w:sz w:val="22"/>
              </w:rPr>
              <w:t xml:space="preserve"> </w:t>
            </w:r>
          </w:p>
          <w:p w14:paraId="7CDD0D97">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秦老师 0816-2239224</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19400"/>
      <w:bookmarkStart w:id="4" w:name="_Toc2805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8A0CD6E">
            <w:pPr>
              <w:jc w:val="left"/>
              <w:rPr>
                <w:rFonts w:hint="default" w:ascii="仿宋" w:hAnsi="仿宋" w:eastAsia="仿宋" w:cs="仿宋"/>
                <w:sz w:val="22"/>
                <w:lang w:val="en-US" w:eastAsia="zh-CN"/>
              </w:rPr>
            </w:pPr>
            <w:r>
              <w:rPr>
                <w:rFonts w:hint="eastAsia" w:ascii="仿宋" w:hAnsi="仿宋" w:eastAsia="仿宋" w:cs="仿宋"/>
                <w:sz w:val="22"/>
                <w:lang w:val="en-US" w:eastAsia="zh-CN"/>
              </w:rPr>
              <w:t>/</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668"/>
      <w:bookmarkStart w:id="6" w:name="_Toc12193"/>
      <w:bookmarkStart w:id="7" w:name="_Toc398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28D6A263">
      <w:pPr>
        <w:numPr>
          <w:ilvl w:val="0"/>
          <w:numId w:val="0"/>
        </w:numPr>
        <w:spacing w:line="360" w:lineRule="auto"/>
        <w:ind w:leftChars="0" w:firstLine="440" w:firstLineChars="200"/>
        <w:rPr>
          <w:rFonts w:hint="default" w:asciiTheme="minorEastAsia" w:hAnsiTheme="minorEastAsia"/>
          <w:color w:val="auto"/>
          <w:kern w:val="0"/>
          <w:sz w:val="22"/>
          <w:szCs w:val="22"/>
          <w:lang w:val="en-US" w:eastAsia="zh-CN"/>
        </w:rPr>
      </w:pPr>
      <w:r>
        <w:rPr>
          <w:rFonts w:hint="eastAsia" w:asciiTheme="minorEastAsia" w:hAnsiTheme="minorEastAsia"/>
          <w:color w:val="auto"/>
          <w:kern w:val="0"/>
          <w:sz w:val="22"/>
          <w:szCs w:val="22"/>
          <w:lang w:val="en-US" w:eastAsia="zh-CN"/>
        </w:rPr>
        <w:t>根据医院需要，</w:t>
      </w:r>
      <w:r>
        <w:rPr>
          <w:rFonts w:hint="eastAsia" w:asciiTheme="minorEastAsia" w:hAnsiTheme="minorEastAsia"/>
          <w:color w:val="auto"/>
          <w:kern w:val="0"/>
          <w:sz w:val="22"/>
          <w:szCs w:val="22"/>
          <w:lang w:eastAsia="zh-CN"/>
        </w:rPr>
        <w:t>拟</w:t>
      </w:r>
      <w:r>
        <w:rPr>
          <w:rFonts w:hint="eastAsia" w:asciiTheme="minorEastAsia" w:hAnsiTheme="minorEastAsia"/>
          <w:color w:val="auto"/>
          <w:kern w:val="0"/>
          <w:sz w:val="22"/>
          <w:szCs w:val="22"/>
          <w:lang w:val="en-US" w:eastAsia="zh-CN"/>
        </w:rPr>
        <w:t>采购</w:t>
      </w:r>
      <w:r>
        <w:rPr>
          <w:rFonts w:hint="eastAsia" w:asciiTheme="minorEastAsia" w:hAnsiTheme="minorEastAsia"/>
          <w:color w:val="auto"/>
          <w:kern w:val="0"/>
          <w:sz w:val="22"/>
          <w:szCs w:val="22"/>
          <w:lang w:eastAsia="zh-CN"/>
        </w:rPr>
        <w:t>公开刊物发表的学术论文进行相似度检测</w:t>
      </w:r>
      <w:r>
        <w:rPr>
          <w:rFonts w:hint="eastAsia" w:asciiTheme="minorEastAsia" w:hAnsiTheme="minorEastAsia"/>
          <w:color w:val="auto"/>
          <w:kern w:val="0"/>
          <w:sz w:val="22"/>
          <w:szCs w:val="22"/>
          <w:lang w:val="en-US" w:eastAsia="zh-CN"/>
        </w:rPr>
        <w:t>和</w:t>
      </w:r>
      <w:r>
        <w:rPr>
          <w:rFonts w:hint="eastAsia" w:asciiTheme="minorEastAsia" w:hAnsiTheme="minorEastAsia"/>
          <w:color w:val="auto"/>
          <w:kern w:val="0"/>
          <w:sz w:val="22"/>
          <w:szCs w:val="22"/>
          <w:lang w:eastAsia="zh-CN"/>
        </w:rPr>
        <w:t>AIGC率检测服务，</w:t>
      </w:r>
      <w:r>
        <w:rPr>
          <w:rFonts w:hint="eastAsia" w:asciiTheme="minorEastAsia" w:hAnsiTheme="minorEastAsia"/>
          <w:color w:val="auto"/>
          <w:kern w:val="0"/>
          <w:sz w:val="22"/>
          <w:szCs w:val="22"/>
          <w:lang w:val="en-US" w:eastAsia="zh-CN"/>
        </w:rPr>
        <w:t>服务期3年</w:t>
      </w:r>
      <w:r>
        <w:rPr>
          <w:rFonts w:hint="eastAsia" w:asciiTheme="minorEastAsia" w:hAnsiTheme="minorEastAsia"/>
          <w:color w:val="auto"/>
          <w:kern w:val="0"/>
          <w:sz w:val="22"/>
          <w:szCs w:val="22"/>
          <w:lang w:eastAsia="zh-CN"/>
        </w:rPr>
        <w:t>。</w:t>
      </w:r>
    </w:p>
    <w:p w14:paraId="4E41739F">
      <w:pPr>
        <w:numPr>
          <w:ilvl w:val="0"/>
          <w:numId w:val="18"/>
        </w:numPr>
        <w:spacing w:after="317" w:afterLines="100" w:line="360" w:lineRule="auto"/>
        <w:ind w:left="0" w:leftChars="0" w:firstLine="0" w:firstLineChars="0"/>
        <w:outlineLvl w:val="1"/>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bCs/>
          <w:sz w:val="24"/>
          <w:szCs w:val="24"/>
        </w:rPr>
        <w:t>技术、服务要求</w:t>
      </w:r>
    </w:p>
    <w:p w14:paraId="1A51C4AC">
      <w:pPr>
        <w:pStyle w:val="27"/>
        <w:keepNext w:val="0"/>
        <w:keepLines w:val="0"/>
        <w:pageBreakBefore w:val="0"/>
        <w:widowControl w:val="0"/>
        <w:numPr>
          <w:ilvl w:val="0"/>
          <w:numId w:val="19"/>
        </w:numPr>
        <w:kinsoku/>
        <w:wordWrap/>
        <w:overflowPunct/>
        <w:topLinePunct w:val="0"/>
        <w:autoSpaceDE/>
        <w:autoSpaceDN/>
        <w:bidi w:val="0"/>
        <w:adjustRightInd/>
        <w:snapToGrid w:val="0"/>
        <w:spacing w:line="400" w:lineRule="exact"/>
        <w:ind w:left="0" w:leftChars="0" w:firstLine="420" w:firstLineChars="0"/>
        <w:jc w:val="left"/>
        <w:textAlignment w:val="auto"/>
        <w:rPr>
          <w:rFonts w:hint="eastAsia" w:ascii="宋体" w:hAnsi="宋体"/>
          <w:b/>
          <w:bCs/>
          <w:color w:val="auto"/>
          <w:kern w:val="0"/>
          <w:sz w:val="22"/>
          <w:szCs w:val="22"/>
          <w:lang w:val="en-US" w:eastAsia="zh-CN"/>
        </w:rPr>
      </w:pPr>
      <w:r>
        <w:rPr>
          <w:rFonts w:hint="eastAsia" w:ascii="宋体" w:hAnsi="宋体"/>
          <w:b/>
          <w:bCs/>
          <w:color w:val="auto"/>
          <w:kern w:val="0"/>
          <w:sz w:val="22"/>
          <w:szCs w:val="22"/>
          <w:lang w:val="en-US" w:eastAsia="zh-CN"/>
        </w:rPr>
        <w:t>检查篇数≥2000篇/年</w:t>
      </w:r>
    </w:p>
    <w:p w14:paraId="057595DD">
      <w:pPr>
        <w:pStyle w:val="27"/>
        <w:keepNext w:val="0"/>
        <w:keepLines w:val="0"/>
        <w:pageBreakBefore w:val="0"/>
        <w:widowControl w:val="0"/>
        <w:numPr>
          <w:ilvl w:val="0"/>
          <w:numId w:val="19"/>
        </w:numPr>
        <w:kinsoku/>
        <w:wordWrap/>
        <w:overflowPunct/>
        <w:topLinePunct w:val="0"/>
        <w:autoSpaceDE/>
        <w:autoSpaceDN/>
        <w:bidi w:val="0"/>
        <w:adjustRightInd/>
        <w:snapToGrid w:val="0"/>
        <w:spacing w:line="400" w:lineRule="exact"/>
        <w:ind w:left="0" w:leftChars="0" w:firstLine="420" w:firstLineChars="0"/>
        <w:jc w:val="left"/>
        <w:textAlignment w:val="auto"/>
        <w:rPr>
          <w:rFonts w:hint="default" w:ascii="宋体" w:hAnsi="宋体"/>
          <w:b/>
          <w:bCs/>
          <w:color w:val="auto"/>
          <w:kern w:val="0"/>
          <w:sz w:val="22"/>
          <w:szCs w:val="22"/>
          <w:lang w:val="en-US" w:eastAsia="zh-CN"/>
        </w:rPr>
      </w:pPr>
      <w:r>
        <w:rPr>
          <w:rFonts w:hint="default" w:ascii="宋体" w:hAnsi="宋体"/>
          <w:b/>
          <w:bCs/>
          <w:color w:val="auto"/>
          <w:kern w:val="0"/>
          <w:sz w:val="22"/>
          <w:szCs w:val="22"/>
          <w:lang w:val="en-US" w:eastAsia="zh-CN"/>
        </w:rPr>
        <w:t>论文文本相似度检测服务技术参数</w:t>
      </w:r>
    </w:p>
    <w:p w14:paraId="4ADF4C03">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1.比对库资源涵盖国内主要学术期刊8500种以上，</w:t>
      </w:r>
      <w:r>
        <w:rPr>
          <w:rFonts w:hint="default" w:ascii="宋体" w:hAnsi="宋体"/>
          <w:color w:val="000000" w:themeColor="text1"/>
          <w:kern w:val="0"/>
          <w:sz w:val="22"/>
          <w:szCs w:val="22"/>
          <w:lang w:val="en-US" w:eastAsia="zh-CN"/>
          <w14:textFill>
            <w14:solidFill>
              <w14:schemeClr w14:val="tx1"/>
            </w14:solidFill>
          </w14:textFill>
        </w:rPr>
        <w:t>累积总量至少达6300万篇以上。</w:t>
      </w:r>
    </w:p>
    <w:p w14:paraId="0C289990">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2.比对库资源涵盖国内大多数高校的博硕士学位论文，实时总量至少达700万篇。</w:t>
      </w:r>
    </w:p>
    <w:p w14:paraId="7320747A">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3.比对库资源涵盖国内外学术会议论文，实时总量至少达380万篇。</w:t>
      </w:r>
    </w:p>
    <w:p w14:paraId="69D45205">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4.比对库资源涵盖专利数据库，《中国专利全文数据库》《海外专利数据库》，实时总量1.5亿条以上。</w:t>
      </w:r>
    </w:p>
    <w:p w14:paraId="092F3DF4">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5.含互联网资源，港澳台数据资源和第三方英文数据库，同时支持用户自建比对库，实现比对资源的持续扩充，最大程度保证检测结果的客观可靠。</w:t>
      </w:r>
    </w:p>
    <w:p w14:paraId="0C2FB2B6">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6.系统支持英文检测，支持跨语言检测（中英文互抄识别）；表格自动抽取检测；繁简体转化识别检测。</w:t>
      </w:r>
    </w:p>
    <w:p w14:paraId="6B93C112">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7.支持已发表文献检测功能。</w:t>
      </w:r>
    </w:p>
    <w:p w14:paraId="3E5CC5A3">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8.支持多手段的文献上传功能（支持批量上传检测、批量报告单导出）。</w:t>
      </w:r>
    </w:p>
    <w:p w14:paraId="0B23B4FF">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9.支持多格式的文献自动解析功能（支持wps、doc、docx、pdf、caj、txt等格式文档自动处理）。</w:t>
      </w:r>
    </w:p>
    <w:p w14:paraId="5C025E8B">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10.比对数据库定期更新，保证比对数据全面。</w:t>
      </w:r>
    </w:p>
    <w:p w14:paraId="27760C50">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11.目录、创作型声明、参考文献不参与全文比对。</w:t>
      </w:r>
    </w:p>
    <w:p w14:paraId="5FE606DF">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b/>
          <w:bCs/>
          <w:color w:val="auto"/>
          <w:kern w:val="0"/>
          <w:sz w:val="22"/>
          <w:szCs w:val="22"/>
          <w:lang w:val="en-US" w:eastAsia="zh-CN"/>
        </w:rPr>
      </w:pPr>
      <w:r>
        <w:rPr>
          <w:rFonts w:hint="default" w:ascii="宋体" w:hAnsi="宋体"/>
          <w:color w:val="auto"/>
          <w:kern w:val="0"/>
          <w:sz w:val="22"/>
          <w:szCs w:val="22"/>
          <w:lang w:val="en-US" w:eastAsia="zh-CN"/>
        </w:rPr>
        <w:t>12.能够提供多种详细的检测报告，包含总的文字复制比、去除引用文献后的复制比、去除作者本人的复制比，提供单独的跨语言抄袭检测复制比；支持引用、非引用区分检测并标注引用内容所占比例，用不同的颜色将引用内容与疑似抄袭内容区别开。</w:t>
      </w:r>
    </w:p>
    <w:p w14:paraId="4B6EF640">
      <w:pPr>
        <w:pStyle w:val="27"/>
        <w:keepNext w:val="0"/>
        <w:keepLines w:val="0"/>
        <w:pageBreakBefore w:val="0"/>
        <w:widowControl w:val="0"/>
        <w:numPr>
          <w:ilvl w:val="0"/>
          <w:numId w:val="19"/>
        </w:numPr>
        <w:kinsoku/>
        <w:wordWrap/>
        <w:overflowPunct/>
        <w:topLinePunct w:val="0"/>
        <w:autoSpaceDE/>
        <w:autoSpaceDN/>
        <w:bidi w:val="0"/>
        <w:adjustRightInd/>
        <w:snapToGrid w:val="0"/>
        <w:spacing w:line="400" w:lineRule="exact"/>
        <w:ind w:left="0" w:leftChars="0" w:firstLine="420" w:firstLineChars="0"/>
        <w:jc w:val="left"/>
        <w:textAlignment w:val="auto"/>
        <w:rPr>
          <w:rFonts w:hint="default" w:ascii="宋体" w:hAnsi="宋体"/>
          <w:color w:val="auto"/>
          <w:kern w:val="0"/>
          <w:sz w:val="22"/>
          <w:szCs w:val="22"/>
          <w:lang w:val="en-US" w:eastAsia="zh-CN"/>
        </w:rPr>
      </w:pPr>
      <w:r>
        <w:rPr>
          <w:rFonts w:hint="default" w:ascii="宋体" w:hAnsi="宋体"/>
          <w:b/>
          <w:bCs/>
          <w:color w:val="auto"/>
          <w:kern w:val="0"/>
          <w:sz w:val="22"/>
          <w:szCs w:val="22"/>
          <w:lang w:val="en-US" w:eastAsia="zh-CN"/>
        </w:rPr>
        <w:t>AIGC检测服务系统技术参数</w:t>
      </w:r>
    </w:p>
    <w:p w14:paraId="353116EF">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1.支持谷歌、火狐、Edge等主流浏览器。</w:t>
      </w:r>
    </w:p>
    <w:p w14:paraId="14951F29">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2.系统支持对上传文档的AIGC检测及检测结果查询，并提供以下功能：支持按用户需求自定义上传检测</w:t>
      </w:r>
      <w:r>
        <w:rPr>
          <w:rFonts w:hint="eastAsia" w:ascii="宋体" w:hAnsi="宋体"/>
          <w:color w:val="auto"/>
          <w:kern w:val="0"/>
          <w:sz w:val="22"/>
          <w:szCs w:val="22"/>
          <w:lang w:val="en-US" w:eastAsia="zh-CN"/>
        </w:rPr>
        <w:t>；</w:t>
      </w:r>
      <w:r>
        <w:rPr>
          <w:rFonts w:hint="default" w:ascii="宋体" w:hAnsi="宋体"/>
          <w:color w:val="auto"/>
          <w:kern w:val="0"/>
          <w:sz w:val="22"/>
          <w:szCs w:val="22"/>
          <w:lang w:val="en-US" w:eastAsia="zh-CN"/>
        </w:rPr>
        <w:t>多维度指标展示AIGC检测结果</w:t>
      </w:r>
      <w:r>
        <w:rPr>
          <w:rFonts w:hint="eastAsia" w:ascii="宋体" w:hAnsi="宋体"/>
          <w:color w:val="auto"/>
          <w:kern w:val="0"/>
          <w:sz w:val="22"/>
          <w:szCs w:val="22"/>
          <w:lang w:val="en-US" w:eastAsia="zh-CN"/>
        </w:rPr>
        <w:t>；</w:t>
      </w:r>
      <w:r>
        <w:rPr>
          <w:rFonts w:hint="default" w:ascii="宋体" w:hAnsi="宋体"/>
          <w:color w:val="auto"/>
          <w:kern w:val="0"/>
          <w:sz w:val="22"/>
          <w:szCs w:val="22"/>
          <w:lang w:val="en-US" w:eastAsia="zh-CN"/>
        </w:rPr>
        <w:t>支持下载及在线预览简洁版与全文版检测报告</w:t>
      </w:r>
      <w:r>
        <w:rPr>
          <w:rFonts w:hint="eastAsia" w:ascii="宋体" w:hAnsi="宋体"/>
          <w:color w:val="auto"/>
          <w:kern w:val="0"/>
          <w:sz w:val="22"/>
          <w:szCs w:val="22"/>
          <w:lang w:val="en-US" w:eastAsia="zh-CN"/>
        </w:rPr>
        <w:t>。</w:t>
      </w:r>
    </w:p>
    <w:p w14:paraId="21E67C7E">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3.支持多格式文档的兼容上传与智能识别，涵盖doc、docx、wps、caj、txt、pdf、kdh、nh、rtf等主流文档格式。</w:t>
      </w:r>
    </w:p>
    <w:p w14:paraId="42AB02F6">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4.提供多样化上传模式，支持单篇、批量、压缩包及手工录入等多种方式上传。</w:t>
      </w:r>
    </w:p>
    <w:p w14:paraId="4B0225CB">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5.支持多语种（中/英文）内容检测。</w:t>
      </w:r>
    </w:p>
    <w:p w14:paraId="57E6AD30">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6.支持检测结果列表可视化，涵盖篇名、作者、单位、AI特征值等关键信息维度，实现数据的直观化展示。</w:t>
      </w:r>
    </w:p>
    <w:p w14:paraId="3400A4A1">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7.支持对检测结果多维度精准筛选，可基于篇名、AI特征值、上传日期等字段构建过滤条件，实现目标结果的快速检索与定位。</w:t>
      </w:r>
    </w:p>
    <w:p w14:paraId="07CFE62A">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8.支持检测原文的下载。</w:t>
      </w:r>
    </w:p>
    <w:p w14:paraId="55137E01">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9.检测结果详情页文、图、表多维度展示检测结果。</w:t>
      </w:r>
    </w:p>
    <w:p w14:paraId="4CE50781">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eastAsia" w:ascii="宋体" w:hAnsi="宋体"/>
          <w:color w:val="auto"/>
          <w:kern w:val="0"/>
          <w:sz w:val="22"/>
          <w:szCs w:val="22"/>
          <w:lang w:val="en-US" w:eastAsia="zh-CN"/>
        </w:rPr>
        <w:t>1</w:t>
      </w:r>
      <w:r>
        <w:rPr>
          <w:rFonts w:hint="default" w:ascii="宋体" w:hAnsi="宋体"/>
          <w:color w:val="auto"/>
          <w:kern w:val="0"/>
          <w:sz w:val="22"/>
          <w:szCs w:val="22"/>
          <w:lang w:val="en-US" w:eastAsia="zh-CN"/>
        </w:rPr>
        <w:t>0.采用多色差异化标识，对不同AI特征进行分类标注，实现快速检索与可视化辨识（红色代表AI特征显著部分，计入AI特征字符数；棕色代表AI特征疑似部分，未计入AI特征字符数）。</w:t>
      </w:r>
    </w:p>
    <w:p w14:paraId="2FC811C8">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eastAsia" w:ascii="宋体" w:hAnsi="宋体"/>
          <w:color w:val="auto"/>
          <w:kern w:val="0"/>
          <w:sz w:val="22"/>
          <w:szCs w:val="22"/>
          <w:lang w:val="en-US" w:eastAsia="zh-CN"/>
        </w:rPr>
        <w:t>1</w:t>
      </w:r>
      <w:r>
        <w:rPr>
          <w:rFonts w:hint="default" w:ascii="宋体" w:hAnsi="宋体"/>
          <w:color w:val="auto"/>
          <w:kern w:val="0"/>
          <w:sz w:val="22"/>
          <w:szCs w:val="22"/>
          <w:lang w:val="en-US" w:eastAsia="zh-CN"/>
        </w:rPr>
        <w:t>1.提供AIGC片段分布可视化图谱，以前、中、后部展示AI特征疑似情况，并支持条形码式概览。</w:t>
      </w:r>
    </w:p>
    <w:p w14:paraId="69087118">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eastAsia" w:ascii="宋体" w:hAnsi="宋体"/>
          <w:color w:val="auto"/>
          <w:kern w:val="0"/>
          <w:sz w:val="22"/>
          <w:szCs w:val="22"/>
          <w:lang w:val="en-US" w:eastAsia="zh-CN"/>
        </w:rPr>
        <w:t>1</w:t>
      </w:r>
      <w:r>
        <w:rPr>
          <w:rFonts w:hint="default" w:ascii="宋体" w:hAnsi="宋体"/>
          <w:color w:val="auto"/>
          <w:kern w:val="0"/>
          <w:sz w:val="22"/>
          <w:szCs w:val="22"/>
          <w:lang w:val="en-US" w:eastAsia="zh-CN"/>
        </w:rPr>
        <w:t>2.支持检测结果的精准检索与自动定位，可快速匹配目标文本段并映射对应检测结果。</w:t>
      </w:r>
    </w:p>
    <w:p w14:paraId="2CCB943C">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eastAsia" w:ascii="宋体" w:hAnsi="宋体"/>
          <w:color w:val="auto"/>
          <w:kern w:val="0"/>
          <w:sz w:val="22"/>
          <w:szCs w:val="22"/>
          <w:lang w:val="en-US" w:eastAsia="zh-CN"/>
        </w:rPr>
        <w:t>1</w:t>
      </w:r>
      <w:r>
        <w:rPr>
          <w:rFonts w:hint="default" w:ascii="宋体" w:hAnsi="宋体"/>
          <w:color w:val="auto"/>
          <w:kern w:val="0"/>
          <w:sz w:val="22"/>
          <w:szCs w:val="22"/>
          <w:lang w:val="en-US" w:eastAsia="zh-CN"/>
        </w:rPr>
        <w:t>3.提供检测结果结构化表单、检测结果PDF报告单等不同展示方式。</w:t>
      </w:r>
    </w:p>
    <w:p w14:paraId="0062CF52">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eastAsia" w:ascii="宋体" w:hAnsi="宋体"/>
          <w:color w:val="auto"/>
          <w:kern w:val="0"/>
          <w:sz w:val="22"/>
          <w:szCs w:val="22"/>
          <w:lang w:val="en-US" w:eastAsia="zh-CN"/>
        </w:rPr>
        <w:t>1</w:t>
      </w:r>
      <w:r>
        <w:rPr>
          <w:rFonts w:hint="default" w:ascii="宋体" w:hAnsi="宋体"/>
          <w:color w:val="auto"/>
          <w:kern w:val="0"/>
          <w:sz w:val="22"/>
          <w:szCs w:val="22"/>
          <w:lang w:val="en-US" w:eastAsia="zh-CN"/>
        </w:rPr>
        <w:t>4.提供多种类型（简洁/全文）报告单，并支持批量下载。</w:t>
      </w:r>
    </w:p>
    <w:p w14:paraId="1419E291">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eastAsia" w:ascii="宋体" w:hAnsi="宋体"/>
          <w:b/>
          <w:bCs/>
          <w:color w:val="auto"/>
          <w:kern w:val="0"/>
          <w:sz w:val="22"/>
          <w:szCs w:val="22"/>
          <w:lang w:val="en-US" w:eastAsia="zh-CN"/>
        </w:rPr>
      </w:pPr>
      <w:r>
        <w:rPr>
          <w:rFonts w:hint="eastAsia" w:ascii="宋体" w:hAnsi="宋体"/>
          <w:color w:val="auto"/>
          <w:kern w:val="0"/>
          <w:sz w:val="22"/>
          <w:szCs w:val="22"/>
          <w:lang w:val="en-US" w:eastAsia="zh-CN"/>
        </w:rPr>
        <w:t>1</w:t>
      </w:r>
      <w:r>
        <w:rPr>
          <w:rFonts w:hint="default" w:ascii="宋体" w:hAnsi="宋体"/>
          <w:color w:val="auto"/>
          <w:kern w:val="0"/>
          <w:sz w:val="22"/>
          <w:szCs w:val="22"/>
          <w:lang w:val="en-US" w:eastAsia="zh-CN"/>
        </w:rPr>
        <w:t>5.报告单可呈现全文检测结果；单独展示AI特征显著或疑似的片段详情；可展示原文内容，并在原文内容上差异化标注AI特征结果。</w:t>
      </w:r>
    </w:p>
    <w:p w14:paraId="782D6BEA">
      <w:pPr>
        <w:pStyle w:val="27"/>
        <w:keepNext w:val="0"/>
        <w:keepLines w:val="0"/>
        <w:pageBreakBefore w:val="0"/>
        <w:widowControl w:val="0"/>
        <w:numPr>
          <w:ilvl w:val="0"/>
          <w:numId w:val="19"/>
        </w:numPr>
        <w:kinsoku/>
        <w:wordWrap/>
        <w:overflowPunct/>
        <w:topLinePunct w:val="0"/>
        <w:autoSpaceDE/>
        <w:autoSpaceDN/>
        <w:bidi w:val="0"/>
        <w:adjustRightInd/>
        <w:snapToGrid w:val="0"/>
        <w:spacing w:line="400" w:lineRule="exact"/>
        <w:ind w:left="0" w:leftChars="0" w:firstLine="420" w:firstLineChars="0"/>
        <w:jc w:val="left"/>
        <w:textAlignment w:val="auto"/>
        <w:rPr>
          <w:rFonts w:hint="default" w:ascii="宋体" w:hAnsi="宋体"/>
          <w:b/>
          <w:bCs/>
          <w:color w:val="auto"/>
          <w:kern w:val="0"/>
          <w:sz w:val="22"/>
          <w:szCs w:val="22"/>
          <w:lang w:val="en-US" w:eastAsia="zh-CN"/>
        </w:rPr>
      </w:pPr>
      <w:r>
        <w:rPr>
          <w:rFonts w:hint="eastAsia" w:ascii="宋体" w:hAnsi="宋体"/>
          <w:b/>
          <w:bCs/>
          <w:color w:val="auto"/>
          <w:kern w:val="0"/>
          <w:sz w:val="22"/>
          <w:szCs w:val="22"/>
          <w:lang w:val="en-US" w:eastAsia="zh-CN"/>
        </w:rPr>
        <w:t>其他要求</w:t>
      </w:r>
    </w:p>
    <w:p w14:paraId="39EFFDFA">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eastAsia" w:ascii="宋体" w:hAnsi="宋体"/>
          <w:color w:val="auto"/>
          <w:kern w:val="0"/>
          <w:sz w:val="22"/>
          <w:szCs w:val="22"/>
          <w:lang w:val="en-US" w:eastAsia="zh-CN"/>
        </w:rPr>
        <w:t>1.</w:t>
      </w:r>
      <w:r>
        <w:rPr>
          <w:rFonts w:hint="default" w:ascii="宋体" w:hAnsi="宋体"/>
          <w:color w:val="auto"/>
          <w:kern w:val="0"/>
          <w:sz w:val="22"/>
          <w:szCs w:val="22"/>
          <w:lang w:val="en-US" w:eastAsia="zh-CN"/>
        </w:rPr>
        <w:t>具有稳定的售后团队，具备完善的售后服务保障体系，用户使用过程中若出现任何故障，在得到用户反馈后能够及时处理（2小时内与用户取得联系并沟通具体情况；一般性质问题24小时内处理完成；严重或有一定技术难度问题2周内处理完成；存在较大技术难度问题经协商处理）。</w:t>
      </w:r>
    </w:p>
    <w:p w14:paraId="16387A4A">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eastAsia" w:ascii="宋体" w:hAnsi="宋体"/>
          <w:color w:val="auto"/>
          <w:kern w:val="0"/>
          <w:sz w:val="22"/>
          <w:szCs w:val="22"/>
          <w:lang w:val="en-US" w:eastAsia="zh-CN"/>
        </w:rPr>
        <w:t>2.</w:t>
      </w:r>
      <w:r>
        <w:rPr>
          <w:rFonts w:hint="default" w:ascii="宋体" w:hAnsi="宋体"/>
          <w:color w:val="auto"/>
          <w:kern w:val="0"/>
          <w:sz w:val="22"/>
          <w:szCs w:val="22"/>
          <w:lang w:val="en-US" w:eastAsia="zh-CN"/>
        </w:rPr>
        <w:t>投标产品必须完全解决版权问题，保证所供的数据库信息内容符合中华人民共和国相关法律，保证所供信息不会引起知识产权纠纷等法律责任。</w:t>
      </w:r>
    </w:p>
    <w:p w14:paraId="4B589285">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eastAsia" w:ascii="宋体" w:hAnsi="宋体"/>
          <w:color w:val="auto"/>
          <w:kern w:val="0"/>
          <w:sz w:val="22"/>
          <w:szCs w:val="22"/>
          <w:lang w:val="en-US" w:eastAsia="zh-CN"/>
        </w:rPr>
        <w:t>3</w:t>
      </w:r>
      <w:r>
        <w:rPr>
          <w:rFonts w:hint="default" w:ascii="宋体" w:hAnsi="宋体"/>
          <w:color w:val="auto"/>
          <w:kern w:val="0"/>
          <w:sz w:val="22"/>
          <w:szCs w:val="22"/>
          <w:lang w:val="en-US" w:eastAsia="zh-CN"/>
        </w:rPr>
        <w:t>.技术培训服务：有专门系统管理人员为学校提供至少一次论文检测系统技术培训，时间和方式由双方商定。</w:t>
      </w:r>
    </w:p>
    <w:p w14:paraId="5F50D1B6">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4.系统使用的比对资源库中的所有资源均是符合法律要求通过正规程序合作获得。即投标产品必须完全解决版权问题，保证所供的数据库信息内容符合中华人民共和国相关法律，保证所供信息不会引起知识产权纠纷等法律责任。</w:t>
      </w:r>
    </w:p>
    <w:p w14:paraId="545FCBBA">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default" w:ascii="宋体" w:hAnsi="宋体"/>
          <w:color w:val="auto"/>
          <w:kern w:val="0"/>
          <w:sz w:val="22"/>
          <w:szCs w:val="22"/>
          <w:lang w:val="en-US" w:eastAsia="zh-CN"/>
        </w:rPr>
      </w:pPr>
      <w:r>
        <w:rPr>
          <w:rFonts w:hint="default" w:ascii="宋体" w:hAnsi="宋体"/>
          <w:color w:val="auto"/>
          <w:kern w:val="0"/>
          <w:sz w:val="22"/>
          <w:szCs w:val="22"/>
          <w:lang w:val="en-US" w:eastAsia="zh-CN"/>
        </w:rPr>
        <w:t>5.系统采用的检测技术应具有自主知识产权。</w:t>
      </w:r>
    </w:p>
    <w:p w14:paraId="77033B96">
      <w:pPr>
        <w:pStyle w:val="2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eastAsia" w:ascii="仿宋" w:hAnsi="仿宋" w:eastAsia="仿宋" w:cs="仿宋"/>
          <w:b/>
          <w:bCs/>
          <w:sz w:val="22"/>
          <w:szCs w:val="22"/>
        </w:rPr>
      </w:pPr>
      <w:r>
        <w:rPr>
          <w:rFonts w:hint="default" w:ascii="宋体" w:hAnsi="宋体"/>
          <w:color w:val="auto"/>
          <w:kern w:val="0"/>
          <w:sz w:val="22"/>
          <w:szCs w:val="22"/>
          <w:lang w:val="en-US" w:eastAsia="zh-CN"/>
        </w:rPr>
        <w:t>6.此次采购产品须为成熟产品，不接受二次开发。</w:t>
      </w:r>
    </w:p>
    <w:p w14:paraId="760D41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18D6679F">
      <w:pPr>
        <w:keepNext w:val="0"/>
        <w:keepLines w:val="0"/>
        <w:pageBreakBefore w:val="0"/>
        <w:kinsoku/>
        <w:wordWrap/>
        <w:overflowPunct/>
        <w:topLinePunct w:val="0"/>
        <w:autoSpaceDE/>
        <w:autoSpaceDN/>
        <w:bidi w:val="0"/>
        <w:adjustRightInd/>
        <w:snapToGrid w:val="0"/>
        <w:spacing w:line="400" w:lineRule="atLeast"/>
        <w:rPr>
          <w:rFonts w:hint="eastAsia" w:cs="Arial Unicode MS" w:asciiTheme="minorEastAsia" w:hAnsiTheme="minorEastAsia"/>
          <w:color w:val="auto"/>
          <w:kern w:val="0"/>
          <w:sz w:val="22"/>
          <w:szCs w:val="22"/>
        </w:rPr>
      </w:pPr>
      <w:r>
        <w:rPr>
          <w:rFonts w:hint="eastAsia" w:cs="Arial Unicode MS" w:asciiTheme="minorEastAsia" w:hAnsiTheme="minorEastAsia"/>
          <w:color w:val="auto"/>
          <w:kern w:val="0"/>
          <w:sz w:val="22"/>
          <w:szCs w:val="22"/>
        </w:rPr>
        <w:t>1、成交供应商需在30日内与采购人签订合同，服务期3年，签订协议后根据采购人需要提出交货要求起30日内提供账号，实际使用1个月后进行检测验收。</w:t>
      </w:r>
    </w:p>
    <w:p w14:paraId="57344FF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atLeast"/>
        <w:ind w:leftChars="0"/>
        <w:jc w:val="left"/>
        <w:textAlignment w:val="center"/>
        <w:rPr>
          <w:rFonts w:hint="eastAsia" w:cs="Arial Unicode MS" w:asciiTheme="minorEastAsia" w:hAnsiTheme="minorEastAsia"/>
          <w:color w:val="auto"/>
          <w:kern w:val="0"/>
          <w:sz w:val="22"/>
          <w:szCs w:val="22"/>
        </w:rPr>
      </w:pPr>
      <w:r>
        <w:rPr>
          <w:rFonts w:hint="eastAsia" w:cs="Arial Unicode MS" w:asciiTheme="minorEastAsia" w:hAnsiTheme="minorEastAsia"/>
          <w:color w:val="auto"/>
          <w:kern w:val="0"/>
          <w:sz w:val="22"/>
          <w:szCs w:val="22"/>
        </w:rPr>
        <w:t>2、付款方式:验收合格后采购人收到中标人提交完备票据凭证30日内支付服务费用金额的100%。</w:t>
      </w:r>
    </w:p>
    <w:p w14:paraId="7895FF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atLeast"/>
        <w:ind w:leftChars="0"/>
        <w:jc w:val="left"/>
        <w:textAlignment w:val="center"/>
        <w:rPr>
          <w:rFonts w:hint="default" w:cs="Arial Unicode MS" w:asciiTheme="minorEastAsia" w:hAnsiTheme="minorEastAsia" w:eastAsiaTheme="minorEastAsia"/>
          <w:color w:val="auto"/>
          <w:kern w:val="0"/>
          <w:sz w:val="22"/>
          <w:szCs w:val="22"/>
          <w:lang w:val="en-US" w:eastAsia="zh-CN"/>
        </w:rPr>
      </w:pPr>
      <w:r>
        <w:rPr>
          <w:rFonts w:hint="eastAsia" w:cs="Arial Unicode MS" w:asciiTheme="minorEastAsia" w:hAnsiTheme="minorEastAsia"/>
          <w:color w:val="auto"/>
          <w:kern w:val="0"/>
          <w:sz w:val="22"/>
          <w:szCs w:val="22"/>
          <w:lang w:val="en-US" w:eastAsia="zh-CN"/>
        </w:rPr>
        <w:t>3、检查超出部分单价不超过90元/篇。</w:t>
      </w:r>
    </w:p>
    <w:p w14:paraId="446B319D">
      <w:pPr>
        <w:keepNext w:val="0"/>
        <w:keepLines w:val="0"/>
        <w:widowControl/>
        <w:numPr>
          <w:ilvl w:val="0"/>
          <w:numId w:val="0"/>
        </w:numPr>
        <w:suppressLineNumbers w:val="0"/>
        <w:ind w:leftChars="0"/>
        <w:jc w:val="left"/>
        <w:textAlignment w:val="center"/>
        <w:rPr>
          <w:rFonts w:hint="eastAsia" w:cs="Arial Unicode MS" w:asciiTheme="minorEastAsia" w:hAnsiTheme="minorEastAsia"/>
          <w:color w:val="auto"/>
          <w:kern w:val="0"/>
          <w:sz w:val="24"/>
          <w:szCs w:val="24"/>
          <w:lang w:val="en-US" w:eastAsia="zh-CN"/>
        </w:rPr>
      </w:pPr>
    </w:p>
    <w:p w14:paraId="1239748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注：本章中带“★”的条款为实质性要求，不满足将被作为无效响应处理。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3094"/>
      <w:bookmarkStart w:id="9" w:name="_Toc22827"/>
      <w:bookmarkStart w:id="10" w:name="_Toc1634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29819"/>
      <w:bookmarkStart w:id="12" w:name="_Toc4960"/>
      <w:bookmarkStart w:id="13" w:name="_Toc5913"/>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30609"/>
      <w:bookmarkStart w:id="15" w:name="_Toc19851"/>
      <w:bookmarkStart w:id="16" w:name="_Toc9428"/>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1544"/>
      <w:bookmarkStart w:id="18" w:name="_Toc32352"/>
      <w:bookmarkStart w:id="19" w:name="_Toc9041"/>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24859"/>
      <w:bookmarkStart w:id="23" w:name="_Toc32749"/>
      <w:bookmarkStart w:id="24" w:name="_Toc17163"/>
      <w:bookmarkStart w:id="25" w:name="_Toc1690"/>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6803"/>
      <w:bookmarkStart w:id="27" w:name="_Toc3558"/>
      <w:bookmarkStart w:id="28" w:name="_Toc17905"/>
      <w:bookmarkStart w:id="29" w:name="_Toc2412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526"/>
      <w:bookmarkStart w:id="31" w:name="_Toc27135"/>
      <w:bookmarkStart w:id="32" w:name="_Toc5996"/>
      <w:bookmarkStart w:id="33" w:name="_Toc2989"/>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2031"/>
      <w:bookmarkStart w:id="35" w:name="_Toc19987"/>
      <w:bookmarkStart w:id="36" w:name="_Toc5056"/>
      <w:bookmarkStart w:id="37" w:name="_Toc7233"/>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6482"/>
      <w:bookmarkStart w:id="39" w:name="_Toc3023"/>
      <w:bookmarkStart w:id="40" w:name="_Toc21519"/>
      <w:bookmarkStart w:id="41" w:name="_Toc11352"/>
      <w:bookmarkStart w:id="42" w:name="_Toc16029"/>
      <w:bookmarkStart w:id="43" w:name="_Toc14829"/>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31838"/>
      <w:bookmarkStart w:id="45" w:name="_Toc30971"/>
      <w:bookmarkStart w:id="46" w:name="_Toc4305"/>
      <w:bookmarkStart w:id="47" w:name="_Toc17857"/>
      <w:bookmarkStart w:id="48" w:name="_Toc22676"/>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15613"/>
      <w:bookmarkStart w:id="50" w:name="_Toc27186"/>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25357"/>
      <w:bookmarkStart w:id="53" w:name="_Toc13706"/>
      <w:bookmarkStart w:id="54" w:name="_Toc13904"/>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5638"/>
      <w:bookmarkStart w:id="58" w:name="_Toc27661"/>
      <w:bookmarkStart w:id="59" w:name="_Toc20589"/>
      <w:bookmarkStart w:id="60" w:name="_Toc11351"/>
      <w:bookmarkStart w:id="61" w:name="_Toc15526"/>
      <w:bookmarkStart w:id="62" w:name="_Toc12015"/>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16435"/>
      <w:bookmarkStart w:id="64" w:name="_Toc2041"/>
      <w:bookmarkStart w:id="65" w:name="_Toc23967"/>
      <w:bookmarkStart w:id="66" w:name="_Toc1074"/>
      <w:bookmarkStart w:id="67" w:name="_Toc12967"/>
      <w:bookmarkStart w:id="68" w:name="_Toc26969"/>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2605"/>
      <w:bookmarkStart w:id="70" w:name="_Toc3871"/>
      <w:bookmarkStart w:id="71" w:name="_Toc24494"/>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14685"/>
      <w:bookmarkStart w:id="74" w:name="_Toc29032"/>
      <w:bookmarkStart w:id="75"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0D4F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0876E873">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0F00850A">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31B57B1A">
            <w:pPr>
              <w:pStyle w:val="6"/>
              <w:jc w:val="center"/>
              <w:rPr>
                <w:rFonts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30DB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15688501">
            <w:pPr>
              <w:pStyle w:val="6"/>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78E6895B">
            <w:pPr>
              <w:pStyle w:val="6"/>
              <w:jc w:val="center"/>
              <w:rPr>
                <w:rFonts w:ascii="仿宋" w:hAnsi="仿宋" w:eastAsia="仿宋" w:cs="仿宋"/>
                <w:sz w:val="24"/>
                <w:szCs w:val="24"/>
              </w:rPr>
            </w:pPr>
          </w:p>
        </w:tc>
        <w:tc>
          <w:tcPr>
            <w:tcW w:w="3817" w:type="dxa"/>
            <w:vAlign w:val="center"/>
          </w:tcPr>
          <w:p w14:paraId="67D2C0CA">
            <w:pPr>
              <w:pStyle w:val="6"/>
              <w:jc w:val="center"/>
              <w:rPr>
                <w:rFonts w:ascii="仿宋" w:hAnsi="仿宋" w:eastAsia="仿宋" w:cs="仿宋"/>
                <w:sz w:val="24"/>
                <w:szCs w:val="24"/>
              </w:rPr>
            </w:pPr>
          </w:p>
        </w:tc>
      </w:tr>
      <w:tr w14:paraId="21C2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3FD801FF">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0DED3D82">
            <w:pPr>
              <w:pStyle w:val="6"/>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78F9085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5447"/>
      <w:bookmarkStart w:id="77" w:name="_Toc20691"/>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3831889-2A55-4F2A-B6CF-AFEE7F37D76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5F76026-6AF1-4FB5-AF5D-17C56A683A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58624997-5C37-4498-8F51-82A8F51270B4}"/>
  </w:font>
  <w:font w:name="仿宋">
    <w:panose1 w:val="02010609060101010101"/>
    <w:charset w:val="86"/>
    <w:family w:val="modern"/>
    <w:pitch w:val="default"/>
    <w:sig w:usb0="800002BF" w:usb1="38CF7CFA" w:usb2="00000016" w:usb3="00000000" w:csb0="00040001" w:csb1="00000000"/>
    <w:embedRegular r:id="rId4" w:fontKey="{81FA9990-2FEE-4AC9-A423-A242C694A569}"/>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5" w:fontKey="{36DC2D83-B9B1-4FA0-92F7-9A9A29A0E125}"/>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6" w:fontKey="{C713F734-0BEB-4906-A420-62785E519A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9542324"/>
    <w:multiLevelType w:val="singleLevel"/>
    <w:tmpl w:val="19542324"/>
    <w:lvl w:ilvl="0" w:tentative="0">
      <w:start w:val="1"/>
      <w:numFmt w:val="chineseCounting"/>
      <w:suff w:val="nothing"/>
      <w:lvlText w:val="（%1）"/>
      <w:lvlJc w:val="left"/>
      <w:pPr>
        <w:ind w:left="0" w:firstLine="420"/>
      </w:pPr>
      <w:rPr>
        <w:rFonts w:hint="eastAsia"/>
      </w:rPr>
    </w:lvl>
  </w:abstractNum>
  <w:abstractNum w:abstractNumId="12">
    <w:nsid w:val="1F712D09"/>
    <w:multiLevelType w:val="singleLevel"/>
    <w:tmpl w:val="1F712D09"/>
    <w:lvl w:ilvl="0" w:tentative="0">
      <w:start w:val="1"/>
      <w:numFmt w:val="decimal"/>
      <w:lvlText w:val="(%1)"/>
      <w:lvlJc w:val="left"/>
      <w:pPr>
        <w:ind w:left="218" w:hanging="425"/>
      </w:pPr>
      <w:rPr>
        <w:rFonts w:hint="default"/>
      </w:rPr>
    </w:lvl>
  </w:abstractNum>
  <w:abstractNum w:abstractNumId="13">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A69C7D9"/>
    <w:multiLevelType w:val="singleLevel"/>
    <w:tmpl w:val="3A69C7D9"/>
    <w:lvl w:ilvl="0" w:tentative="0">
      <w:start w:val="1"/>
      <w:numFmt w:val="decimal"/>
      <w:lvlText w:val="(%1)"/>
      <w:lvlJc w:val="left"/>
      <w:pPr>
        <w:ind w:left="425" w:hanging="425"/>
      </w:pPr>
      <w:rPr>
        <w:rFonts w:hint="default"/>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3"/>
  </w:num>
  <w:num w:numId="2">
    <w:abstractNumId w:val="9"/>
  </w:num>
  <w:num w:numId="3">
    <w:abstractNumId w:val="15"/>
  </w:num>
  <w:num w:numId="4">
    <w:abstractNumId w:val="18"/>
  </w:num>
  <w:num w:numId="5">
    <w:abstractNumId w:val="12"/>
  </w:num>
  <w:num w:numId="6">
    <w:abstractNumId w:val="17"/>
  </w:num>
  <w:num w:numId="7">
    <w:abstractNumId w:val="14"/>
  </w:num>
  <w:num w:numId="8">
    <w:abstractNumId w:val="8"/>
  </w:num>
  <w:num w:numId="9">
    <w:abstractNumId w:val="16"/>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2E42DB9"/>
    <w:rsid w:val="037B73C5"/>
    <w:rsid w:val="038E0C11"/>
    <w:rsid w:val="03CA1FAF"/>
    <w:rsid w:val="041D546A"/>
    <w:rsid w:val="053034D0"/>
    <w:rsid w:val="058C78B0"/>
    <w:rsid w:val="05D12E0E"/>
    <w:rsid w:val="05E13064"/>
    <w:rsid w:val="06043A48"/>
    <w:rsid w:val="06DD0510"/>
    <w:rsid w:val="07275343"/>
    <w:rsid w:val="078909F5"/>
    <w:rsid w:val="0797664C"/>
    <w:rsid w:val="07CA7DEC"/>
    <w:rsid w:val="08722396"/>
    <w:rsid w:val="093A3733"/>
    <w:rsid w:val="095073FA"/>
    <w:rsid w:val="0A2B3D50"/>
    <w:rsid w:val="0A5B6C7C"/>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0FE97C61"/>
    <w:rsid w:val="0FF472FB"/>
    <w:rsid w:val="103462C0"/>
    <w:rsid w:val="10453CDC"/>
    <w:rsid w:val="11084FFD"/>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130116"/>
    <w:rsid w:val="17887E32"/>
    <w:rsid w:val="17F1147E"/>
    <w:rsid w:val="17FC09D2"/>
    <w:rsid w:val="19847FC3"/>
    <w:rsid w:val="1994787E"/>
    <w:rsid w:val="1A586B54"/>
    <w:rsid w:val="1AC11350"/>
    <w:rsid w:val="1AEF347F"/>
    <w:rsid w:val="1B1F6C2C"/>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21ECD"/>
    <w:rsid w:val="215C4736"/>
    <w:rsid w:val="2173335D"/>
    <w:rsid w:val="221448F4"/>
    <w:rsid w:val="226F3FF6"/>
    <w:rsid w:val="22807EAE"/>
    <w:rsid w:val="23282554"/>
    <w:rsid w:val="23563407"/>
    <w:rsid w:val="23791F56"/>
    <w:rsid w:val="249F101D"/>
    <w:rsid w:val="250334A1"/>
    <w:rsid w:val="253A4D8F"/>
    <w:rsid w:val="257858B7"/>
    <w:rsid w:val="25BD312B"/>
    <w:rsid w:val="26224FFB"/>
    <w:rsid w:val="262C2FF8"/>
    <w:rsid w:val="26600825"/>
    <w:rsid w:val="26614BE2"/>
    <w:rsid w:val="26A655F4"/>
    <w:rsid w:val="27970033"/>
    <w:rsid w:val="27DE4F21"/>
    <w:rsid w:val="28094EEC"/>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0BE31DA"/>
    <w:rsid w:val="31D46559"/>
    <w:rsid w:val="31F51A59"/>
    <w:rsid w:val="32724DD0"/>
    <w:rsid w:val="32787627"/>
    <w:rsid w:val="329655CE"/>
    <w:rsid w:val="32AC3E17"/>
    <w:rsid w:val="33C24ADF"/>
    <w:rsid w:val="343706EB"/>
    <w:rsid w:val="351A08D0"/>
    <w:rsid w:val="357519FC"/>
    <w:rsid w:val="35A61797"/>
    <w:rsid w:val="35D74205"/>
    <w:rsid w:val="35E825E5"/>
    <w:rsid w:val="367D6EF4"/>
    <w:rsid w:val="371E7B30"/>
    <w:rsid w:val="372F1B4E"/>
    <w:rsid w:val="37BF3B20"/>
    <w:rsid w:val="380B5401"/>
    <w:rsid w:val="38323B02"/>
    <w:rsid w:val="38AE5E8C"/>
    <w:rsid w:val="3A335BDD"/>
    <w:rsid w:val="3A900FE8"/>
    <w:rsid w:val="3A973F7E"/>
    <w:rsid w:val="3B4E7DFC"/>
    <w:rsid w:val="3C1063F2"/>
    <w:rsid w:val="3CBC5C91"/>
    <w:rsid w:val="3D375AA1"/>
    <w:rsid w:val="3D931F15"/>
    <w:rsid w:val="3EA40469"/>
    <w:rsid w:val="3F6C393F"/>
    <w:rsid w:val="3FA84948"/>
    <w:rsid w:val="3FE34CD0"/>
    <w:rsid w:val="41600431"/>
    <w:rsid w:val="42075FF8"/>
    <w:rsid w:val="42D94E43"/>
    <w:rsid w:val="42E77C3D"/>
    <w:rsid w:val="4335673E"/>
    <w:rsid w:val="43B34232"/>
    <w:rsid w:val="43C401ED"/>
    <w:rsid w:val="441F1541"/>
    <w:rsid w:val="44A32AC2"/>
    <w:rsid w:val="452C0E08"/>
    <w:rsid w:val="454937BA"/>
    <w:rsid w:val="45C538A4"/>
    <w:rsid w:val="46271B24"/>
    <w:rsid w:val="46284338"/>
    <w:rsid w:val="465B6B84"/>
    <w:rsid w:val="465D0053"/>
    <w:rsid w:val="468567BB"/>
    <w:rsid w:val="4782487D"/>
    <w:rsid w:val="480756B2"/>
    <w:rsid w:val="483002E2"/>
    <w:rsid w:val="48D62926"/>
    <w:rsid w:val="49344560"/>
    <w:rsid w:val="495751DE"/>
    <w:rsid w:val="49F66FDD"/>
    <w:rsid w:val="4AB820A2"/>
    <w:rsid w:val="4B2D371E"/>
    <w:rsid w:val="4B4F618D"/>
    <w:rsid w:val="4BAD0151"/>
    <w:rsid w:val="4C8F75A2"/>
    <w:rsid w:val="4CB701C3"/>
    <w:rsid w:val="4D4C612C"/>
    <w:rsid w:val="4D7F5185"/>
    <w:rsid w:val="4D7F6DB0"/>
    <w:rsid w:val="4E8C008E"/>
    <w:rsid w:val="4F784E82"/>
    <w:rsid w:val="4FAB2261"/>
    <w:rsid w:val="4FD14828"/>
    <w:rsid w:val="506A72A7"/>
    <w:rsid w:val="50771A9C"/>
    <w:rsid w:val="52B21B59"/>
    <w:rsid w:val="52EC23F5"/>
    <w:rsid w:val="53854CE8"/>
    <w:rsid w:val="53BF0A7B"/>
    <w:rsid w:val="5455382C"/>
    <w:rsid w:val="545E542E"/>
    <w:rsid w:val="563D3921"/>
    <w:rsid w:val="566B5FD6"/>
    <w:rsid w:val="56A53892"/>
    <w:rsid w:val="56FB3CBC"/>
    <w:rsid w:val="5728175E"/>
    <w:rsid w:val="5734171E"/>
    <w:rsid w:val="57BE2E73"/>
    <w:rsid w:val="57C512E5"/>
    <w:rsid w:val="586B0701"/>
    <w:rsid w:val="58BD4DB3"/>
    <w:rsid w:val="59286AAB"/>
    <w:rsid w:val="59710D46"/>
    <w:rsid w:val="59B52D28"/>
    <w:rsid w:val="5A831663"/>
    <w:rsid w:val="5B243E89"/>
    <w:rsid w:val="5B800F26"/>
    <w:rsid w:val="5B9C032B"/>
    <w:rsid w:val="5C124930"/>
    <w:rsid w:val="5C4A7838"/>
    <w:rsid w:val="5EB9456E"/>
    <w:rsid w:val="5EFC3EB9"/>
    <w:rsid w:val="5F6E71F6"/>
    <w:rsid w:val="5F796A42"/>
    <w:rsid w:val="5FA25E8E"/>
    <w:rsid w:val="5FB711E9"/>
    <w:rsid w:val="60605BAC"/>
    <w:rsid w:val="60C53B7A"/>
    <w:rsid w:val="60E308E3"/>
    <w:rsid w:val="615547CC"/>
    <w:rsid w:val="61646A88"/>
    <w:rsid w:val="62330506"/>
    <w:rsid w:val="625B2157"/>
    <w:rsid w:val="62C51434"/>
    <w:rsid w:val="632E2511"/>
    <w:rsid w:val="63553057"/>
    <w:rsid w:val="63A9427A"/>
    <w:rsid w:val="63AB062A"/>
    <w:rsid w:val="63D462B1"/>
    <w:rsid w:val="641A3596"/>
    <w:rsid w:val="644C701C"/>
    <w:rsid w:val="645F11DF"/>
    <w:rsid w:val="647C6435"/>
    <w:rsid w:val="64BE50E6"/>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83A52"/>
    <w:rsid w:val="6AA97CAB"/>
    <w:rsid w:val="6AD401BA"/>
    <w:rsid w:val="6B036F9E"/>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005158"/>
    <w:rsid w:val="7763329E"/>
    <w:rsid w:val="77BD11A4"/>
    <w:rsid w:val="77F474AF"/>
    <w:rsid w:val="78202D4E"/>
    <w:rsid w:val="78273E08"/>
    <w:rsid w:val="78686E6C"/>
    <w:rsid w:val="78E44CAE"/>
    <w:rsid w:val="79967A89"/>
    <w:rsid w:val="79AB4A88"/>
    <w:rsid w:val="7B550DA5"/>
    <w:rsid w:val="7B5F74F8"/>
    <w:rsid w:val="7B690630"/>
    <w:rsid w:val="7BB6153E"/>
    <w:rsid w:val="7C52757E"/>
    <w:rsid w:val="7C5514A3"/>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27</Pages>
  <Words>123</Words>
  <Characters>139</Characters>
  <Lines>58</Lines>
  <Paragraphs>16</Paragraphs>
  <TotalTime>0</TotalTime>
  <ScaleCrop>false</ScaleCrop>
  <LinksUpToDate>false</LinksUpToDate>
  <CharactersWithSpaces>159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2026-04-10T00:32:54Z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