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比选（2026）071号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双腔取血栓导管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双腔取血栓导管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hint="default" w:ascii="仿宋" w:hAnsi="仿宋" w:eastAsia="仿宋" w:cs="仿宋"/>
          <w:b/>
          <w:bCs/>
          <w:sz w:val="24"/>
          <w:szCs w:val="24"/>
          <w:lang w:val="en-US"/>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4"/>
          <w:szCs w:val="24"/>
          <w:u w:val="none"/>
          <w:lang w:val="en-US" w:eastAsia="zh-CN"/>
        </w:rPr>
        <w:t>用于血管内血栓和栓子的取出以及血管血流的临时阻断。</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血管外科、肾病内科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双腔取血栓导管</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2E4B7">
            <w:pPr>
              <w:widowControl/>
              <w:numPr>
                <w:ilvl w:val="0"/>
                <w:numId w:val="0"/>
              </w:numPr>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r>
              <w:rPr>
                <w:rFonts w:hint="eastAsia" w:ascii="宋体" w:hAnsi="宋体" w:eastAsia="宋体" w:cs="宋体"/>
                <w:kern w:val="0"/>
                <w:sz w:val="18"/>
                <w:szCs w:val="18"/>
                <w:lang w:val="en-US" w:eastAsia="zh-CN" w:bidi="ar"/>
              </w:rPr>
              <w:t>用于血管内血栓和栓子的取出以及血管血流的临时阻断。</w:t>
            </w:r>
          </w:p>
          <w:p w14:paraId="346802A6">
            <w:pPr>
              <w:widowControl/>
              <w:numPr>
                <w:ilvl w:val="0"/>
                <w:numId w:val="0"/>
              </w:numPr>
              <w:ind w:left="0" w:leftChars="0" w:firstLine="0" w:firstLineChars="0"/>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hint="eastAsia" w:ascii="宋体" w:hAnsi="宋体" w:eastAsia="宋体" w:cs="宋体"/>
                <w:kern w:val="0"/>
                <w:sz w:val="18"/>
                <w:szCs w:val="18"/>
                <w:lang w:val="en-US" w:eastAsia="zh-CN" w:bidi="ar"/>
              </w:rPr>
              <w:t>耗材为四川省《药品和医用耗材招采管理系统》价格联动挂网专区挂网的产品；</w:t>
            </w:r>
          </w:p>
          <w:p w14:paraId="39C63AFB">
            <w:pPr>
              <w:widowControl/>
              <w:numPr>
                <w:ilvl w:val="0"/>
                <w:numId w:val="0"/>
              </w:numPr>
              <w:ind w:left="0" w:leftChars="0" w:firstLine="0" w:firstLineChars="0"/>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18"/>
                <w:szCs w:val="18"/>
                <w:lang w:val="en-US" w:eastAsia="zh-CN" w:bidi="ar"/>
              </w:rPr>
              <w:t>可计费材料医保码在四川省医保局可查询；</w:t>
            </w:r>
          </w:p>
          <w:p w14:paraId="2387EAB5">
            <w:pPr>
              <w:widowControl/>
              <w:numPr>
                <w:numId w:val="0"/>
              </w:numPr>
              <w:ind w:leftChars="0"/>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B085CE-73AA-4F08-AA89-99792DF7FA2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B4277E4-1717-41CF-AE77-8DBD5111C4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C04FBCF-8EA1-40F8-9C47-26F5E7DACC44}"/>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D6C6B48-2D94-432A-8406-C31DA703E6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1B34857"/>
    <w:rsid w:val="23791F56"/>
    <w:rsid w:val="250334A1"/>
    <w:rsid w:val="257858B7"/>
    <w:rsid w:val="25BD312B"/>
    <w:rsid w:val="262C2FF8"/>
    <w:rsid w:val="26614BE2"/>
    <w:rsid w:val="26A655F4"/>
    <w:rsid w:val="28F84B43"/>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7EC4B4C"/>
    <w:rsid w:val="380B5401"/>
    <w:rsid w:val="38323B02"/>
    <w:rsid w:val="38AE5E8C"/>
    <w:rsid w:val="38E350E4"/>
    <w:rsid w:val="3A335BDD"/>
    <w:rsid w:val="3A900FE8"/>
    <w:rsid w:val="3B4E7DFC"/>
    <w:rsid w:val="3B58006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523023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2026-04-21T01:22:14Z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CF56FD4CD5A74423B86BA2EA7FE002E8_13</vt:lpwstr>
  </property>
  <property fmtid="{D5CDD505-2E9C-101B-9397-08002B2CF9AE}" pid="4" name="KSOTemplateDocerSaveRecord">
    <vt:lpwstr>eyJoZGlkIjoiZDU1MTNmZmUyODIzN2MxNDgwNzc5NDI0N2ZkNjJhM2IiLCJ1c2VySWQiOiIzMTQ2NjUyOTIifQ==</vt:lpwstr>
  </property>
</Properties>
</file>