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58号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单道注射泵</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单道注射泵</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58号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3000元/台，年采购量不超过29.9万元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8"/>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绵阳市中心医院各科室因工作需要，拟采购单道注射泵，协议期3年。</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5FA237EA">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配备≥3.5英寸彩色显示屏，搭载全中文可视化操作界面，输注参数、运行状态、报警提示等核心信息清晰展示。</w:t>
      </w:r>
    </w:p>
    <w:p w14:paraId="45A0A6EB">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支持临床常用规格注射器（涵盖2ml至60ml）的自动识别或快速选择功能；具备防误推安全机制，安装注射器后推杆应具备制动或感应保护功能。</w:t>
      </w:r>
    </w:p>
    <w:p w14:paraId="0E65C52A">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可输注化疗药、麻醉药。</w:t>
      </w:r>
    </w:p>
    <w:p w14:paraId="3B10E12E">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无需额外工具或外接辅助设备，可直接在注射泵本机添加注射器品牌名称，完成不同品牌合规耗材的参数校准。</w:t>
      </w:r>
    </w:p>
    <w:p w14:paraId="29A1ACA2">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支持自动锁屏模式，且自动锁屏时间可自定义调节，有效防止临床操作中误触更改参数、中断正常输注。</w:t>
      </w:r>
    </w:p>
    <w:p w14:paraId="1EF5FA3C">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设备防异物及液体侵入防护等级≥IP34；整机机身紧凑便携、易移动转运；可在救护车上稳定运行使用。</w:t>
      </w:r>
    </w:p>
    <w:p w14:paraId="0E3C6CEF">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注射速率覆盖范围≥0.01-2200ml/h，最小调节步进≤0.01ml/h，微量精细输注到大剂量快速输注全程精准可控。</w:t>
      </w:r>
    </w:p>
    <w:p w14:paraId="1000D430">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整体注射精度±2%以内，机械运行精度±1%。</w:t>
      </w:r>
    </w:p>
    <w:p w14:paraId="5A9B4CAE">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预置输液总量可调范围≥0.01-9999.99ml，精准匹配各类临床治疗方案的剂量设定需求。</w:t>
      </w:r>
    </w:p>
    <w:p w14:paraId="76B731C9">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快进流速范围≥0.01-2200ml/h，支持自动快进、手动快进两种模式自由切换，完美适配不同应急输注场景。</w:t>
      </w:r>
    </w:p>
    <w:p w14:paraId="241B467B">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可自动统计四类累计量，包含≥24h累计量、最近累计量、自定义时间段累计量、定时间隔累计量，所有数据实时可查、全程可追溯。</w:t>
      </w:r>
    </w:p>
    <w:p w14:paraId="2F3F5C22">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支持≥5种专业注射模式，至少包含速度模式、时间模式、体重模式、剂量时间模式、间断给药模式，全面覆盖临床各类输注场景需求。</w:t>
      </w:r>
    </w:p>
    <w:p w14:paraId="7A90DFC6">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设备内置大容量药物库，可储存≥5000种药物信息，支持快速调取、自动匹配输注参数，大幅减少人工计算误差。</w:t>
      </w:r>
    </w:p>
    <w:p w14:paraId="5AE6D05C">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具备在线动态压力监测功能，可实时显示当前管路压力数值，实现压力状态可视化管控。</w:t>
      </w:r>
    </w:p>
    <w:p w14:paraId="33F3C21E">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压力报警阈值多档可调，可根据临床场景、患者情况精准调节报警灵敏度。</w:t>
      </w:r>
    </w:p>
    <w:p w14:paraId="343186CE">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具备阻塞前预警功能，管路压力上升但未触发阻塞报警时，设备自动识别异常并通过屏幕弹窗提示，提前规避阻塞风险。</w:t>
      </w:r>
    </w:p>
    <w:p w14:paraId="23CBA250">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短暂性阻塞触发报警后，设备检测到阻塞压力缓解时，可自动重启恢复输液，保障输注连续性。</w:t>
      </w:r>
    </w:p>
    <w:p w14:paraId="7DB8B849">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设备报警时同步搭配示意图，直观展示报警信息，医护人员可快速识别故障原因、高效处置异常。</w:t>
      </w:r>
    </w:p>
    <w:p w14:paraId="0EE7743A">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设备可存储≥5000条历史操作、报警及输注记录，支持查询、回放操作，完全满足临床质控与追溯管理要求。</w:t>
      </w:r>
    </w:p>
    <w:p w14:paraId="23171564">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设备以5ml/h恒定输注速率工作时，内置锂电池持续供电时间≥5小时；断电后可无缝切换续航模式，输注进程不中断、参数数据不丢失。</w:t>
      </w:r>
    </w:p>
    <w:p w14:paraId="233CAB62">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现场需提供样品</w:t>
      </w:r>
      <w:bookmarkStart w:id="78" w:name="_GoBack"/>
      <w:bookmarkEnd w:id="78"/>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7"/>
        <w:jc w:val="left"/>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1、成交供应商需在30日内与采购人签订协议，签订协议后根据采购人需要提出交货要求起30日内提供货物并进行验收。</w:t>
      </w:r>
    </w:p>
    <w:p w14:paraId="5463B9AF">
      <w:pPr>
        <w:pStyle w:val="47"/>
        <w:jc w:val="left"/>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2、付款方式：当批货物验收合格并正常运行后，采购人收到中标人提交完备票据凭证资料后30日内支付100%货款。</w:t>
      </w:r>
    </w:p>
    <w:p w14:paraId="39BE1798">
      <w:pPr>
        <w:pStyle w:val="47"/>
        <w:jc w:val="left"/>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3、验收要求：医学装备科和使用科室会同供应商共同验收。</w:t>
      </w:r>
    </w:p>
    <w:p w14:paraId="29E3819A">
      <w:pPr>
        <w:pStyle w:val="47"/>
        <w:jc w:val="left"/>
        <w:rPr>
          <w:rFonts w:hint="eastAsia" w:cs="仿宋" w:asciiTheme="majorEastAsia" w:hAnsiTheme="majorEastAsia" w:eastAsiaTheme="majorEastAsia"/>
          <w:kern w:val="0"/>
          <w:sz w:val="24"/>
          <w:szCs w:val="24"/>
          <w:lang w:val="en-US" w:eastAsia="zh-CN" w:bidi="ar-SA"/>
        </w:rPr>
      </w:pPr>
      <w:r>
        <w:rPr>
          <w:rFonts w:hint="eastAsia" w:cs="仿宋" w:asciiTheme="majorEastAsia" w:hAnsiTheme="majorEastAsia" w:eastAsiaTheme="majorEastAsia"/>
          <w:kern w:val="0"/>
          <w:sz w:val="24"/>
          <w:szCs w:val="24"/>
          <w:lang w:val="en-US" w:eastAsia="zh-CN" w:bidi="ar-SA"/>
        </w:rPr>
        <w:t>4、售后服务：保修期≥5年（包含电池）。</w:t>
      </w:r>
    </w:p>
    <w:p w14:paraId="2877F5C2">
      <w:pPr>
        <w:pStyle w:val="47"/>
        <w:jc w:val="left"/>
        <w:rPr>
          <w:rFonts w:hint="eastAsia"/>
          <w:color w:val="auto"/>
          <w:kern w:val="0"/>
          <w:sz w:val="24"/>
          <w:szCs w:val="24"/>
          <w:highlight w:val="none"/>
          <w:lang w:val="en-US" w:eastAsia="zh-CN"/>
        </w:rPr>
      </w:pP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5913"/>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9041"/>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24859"/>
      <w:bookmarkStart w:id="24" w:name="_Toc1690"/>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3558"/>
      <w:bookmarkStart w:id="28" w:name="_Toc24123"/>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989"/>
      <w:bookmarkStart w:id="32" w:name="_Toc27526"/>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2031"/>
      <w:bookmarkStart w:id="36" w:name="_Toc5056"/>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6029"/>
      <w:bookmarkStart w:id="40" w:name="_Toc11352"/>
      <w:bookmarkStart w:id="41" w:name="_Toc6482"/>
      <w:bookmarkStart w:id="42" w:name="_Toc21519"/>
      <w:bookmarkStart w:id="43" w:name="_Toc1482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4305"/>
      <w:bookmarkStart w:id="46" w:name="_Toc30971"/>
      <w:bookmarkStart w:id="47" w:name="_Toc22676"/>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5526"/>
      <w:bookmarkStart w:id="58" w:name="_Toc27661"/>
      <w:bookmarkStart w:id="59" w:name="_Toc12015"/>
      <w:bookmarkStart w:id="60" w:name="_Toc11351"/>
      <w:bookmarkStart w:id="61" w:name="_Toc25638"/>
      <w:bookmarkStart w:id="62" w:name="_Toc20589"/>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26969"/>
      <w:bookmarkStart w:id="64" w:name="_Toc2041"/>
      <w:bookmarkStart w:id="65" w:name="_Toc1074"/>
      <w:bookmarkStart w:id="66" w:name="_Toc16435"/>
      <w:bookmarkStart w:id="67" w:name="_Toc23967"/>
      <w:bookmarkStart w:id="68" w:name="_Toc12967"/>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24494"/>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9D4763C-5979-4509-BB49-8BE9368ED71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A0AFB28-27E0-4A14-A345-295B72B209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2E36C5D-A79D-452A-A5D2-6F473C187903}"/>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A1BEDCF-385D-4754-A74B-4E96A78415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EF9717EC"/>
    <w:multiLevelType w:val="singleLevel"/>
    <w:tmpl w:val="EF9717EC"/>
    <w:lvl w:ilvl="0" w:tentative="0">
      <w:start w:val="1"/>
      <w:numFmt w:val="decimal"/>
      <w:lvlText w:val="%1."/>
      <w:lvlJc w:val="left"/>
      <w:pPr>
        <w:ind w:left="425" w:hanging="425"/>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5"/>
  </w:num>
  <w:num w:numId="4">
    <w:abstractNumId w:val="18"/>
  </w:num>
  <w:num w:numId="5">
    <w:abstractNumId w:val="12"/>
  </w:num>
  <w:num w:numId="6">
    <w:abstractNumId w:val="17"/>
  </w:num>
  <w:num w:numId="7">
    <w:abstractNumId w:val="14"/>
  </w:num>
  <w:num w:numId="8">
    <w:abstractNumId w:val="9"/>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1"/>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500079"/>
    <w:rsid w:val="058C78B0"/>
    <w:rsid w:val="05D12E0E"/>
    <w:rsid w:val="05E13064"/>
    <w:rsid w:val="06043A48"/>
    <w:rsid w:val="06D56C36"/>
    <w:rsid w:val="06DD0510"/>
    <w:rsid w:val="07275343"/>
    <w:rsid w:val="078909F5"/>
    <w:rsid w:val="0797664C"/>
    <w:rsid w:val="07A66C43"/>
    <w:rsid w:val="07CA7DEC"/>
    <w:rsid w:val="07FB014B"/>
    <w:rsid w:val="08722396"/>
    <w:rsid w:val="093A3733"/>
    <w:rsid w:val="094F41B5"/>
    <w:rsid w:val="095073FA"/>
    <w:rsid w:val="0A2B3D50"/>
    <w:rsid w:val="0A5B6C7C"/>
    <w:rsid w:val="0A903DC8"/>
    <w:rsid w:val="0ABB1787"/>
    <w:rsid w:val="0B223ED3"/>
    <w:rsid w:val="0B395F4B"/>
    <w:rsid w:val="0B4276FF"/>
    <w:rsid w:val="0B4508AE"/>
    <w:rsid w:val="0B574F31"/>
    <w:rsid w:val="0BF34D9F"/>
    <w:rsid w:val="0C375F99"/>
    <w:rsid w:val="0CD33899"/>
    <w:rsid w:val="0DA80FAA"/>
    <w:rsid w:val="0DAF6962"/>
    <w:rsid w:val="0DCE2B6B"/>
    <w:rsid w:val="0E0B7FF0"/>
    <w:rsid w:val="0E692E6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2EC6718"/>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626BC"/>
    <w:rsid w:val="2B2D7144"/>
    <w:rsid w:val="2B563B49"/>
    <w:rsid w:val="2BD274F4"/>
    <w:rsid w:val="2C7C33D1"/>
    <w:rsid w:val="2C9A0A9E"/>
    <w:rsid w:val="2CC93AF1"/>
    <w:rsid w:val="2CDF3C0F"/>
    <w:rsid w:val="2CE462F8"/>
    <w:rsid w:val="2DA70D65"/>
    <w:rsid w:val="2E8822E7"/>
    <w:rsid w:val="2F6328EB"/>
    <w:rsid w:val="2F966F61"/>
    <w:rsid w:val="2FE2558D"/>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6277BD"/>
    <w:rsid w:val="367D6EF4"/>
    <w:rsid w:val="371E7B30"/>
    <w:rsid w:val="37BA4003"/>
    <w:rsid w:val="37BF3B20"/>
    <w:rsid w:val="380B5401"/>
    <w:rsid w:val="38323B02"/>
    <w:rsid w:val="38AE5E8C"/>
    <w:rsid w:val="3A335BDD"/>
    <w:rsid w:val="3A900FE8"/>
    <w:rsid w:val="3A973F7E"/>
    <w:rsid w:val="3B210461"/>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17415A4"/>
    <w:rsid w:val="52B21B59"/>
    <w:rsid w:val="52EC23F5"/>
    <w:rsid w:val="53854CE8"/>
    <w:rsid w:val="53BF0A7B"/>
    <w:rsid w:val="5455382C"/>
    <w:rsid w:val="545E542E"/>
    <w:rsid w:val="54A47A80"/>
    <w:rsid w:val="55D91A6E"/>
    <w:rsid w:val="566B5FD6"/>
    <w:rsid w:val="56A53892"/>
    <w:rsid w:val="56FB3CBC"/>
    <w:rsid w:val="5728175E"/>
    <w:rsid w:val="5734171E"/>
    <w:rsid w:val="57BE2E73"/>
    <w:rsid w:val="57C512E5"/>
    <w:rsid w:val="585D60C3"/>
    <w:rsid w:val="586B0701"/>
    <w:rsid w:val="58A42537"/>
    <w:rsid w:val="58BD4DB3"/>
    <w:rsid w:val="59286AAB"/>
    <w:rsid w:val="59710D46"/>
    <w:rsid w:val="59B52D28"/>
    <w:rsid w:val="5A831663"/>
    <w:rsid w:val="5B243E89"/>
    <w:rsid w:val="5B320CC3"/>
    <w:rsid w:val="5B800F26"/>
    <w:rsid w:val="5B9C032B"/>
    <w:rsid w:val="5C124930"/>
    <w:rsid w:val="5C4A7838"/>
    <w:rsid w:val="5DD034A5"/>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340620"/>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3A1743"/>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7"/>
    <w:qFormat/>
    <w:uiPriority w:val="0"/>
    <w:rPr>
      <w:b/>
      <w:bCs/>
    </w:rPr>
  </w:style>
  <w:style w:type="paragraph" w:styleId="15">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5"/>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6"/>
    <w:qFormat/>
    <w:uiPriority w:val="99"/>
    <w:rPr>
      <w:rFonts w:ascii="宋体" w:hAnsi="Times New Roman"/>
      <w:kern w:val="0"/>
      <w:sz w:val="21"/>
      <w:szCs w:val="24"/>
    </w:rPr>
  </w:style>
  <w:style w:type="character" w:customStyle="1" w:styleId="36">
    <w:name w:val="批注文字 字符"/>
    <w:basedOn w:val="19"/>
    <w:link w:val="5"/>
    <w:qFormat/>
    <w:uiPriority w:val="0"/>
    <w:rPr>
      <w:kern w:val="2"/>
      <w:sz w:val="21"/>
      <w:szCs w:val="22"/>
    </w:rPr>
  </w:style>
  <w:style w:type="character" w:customStyle="1" w:styleId="37">
    <w:name w:val="批注主题 字符"/>
    <w:basedOn w:val="36"/>
    <w:link w:val="14"/>
    <w:qFormat/>
    <w:uiPriority w:val="0"/>
    <w:rPr>
      <w:b/>
      <w:bCs/>
      <w:kern w:val="2"/>
      <w:sz w:val="21"/>
      <w:szCs w:val="22"/>
    </w:rPr>
  </w:style>
  <w:style w:type="character" w:customStyle="1" w:styleId="38">
    <w:name w:val="批注框文本 字符"/>
    <w:basedOn w:val="19"/>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19"/>
    <w:link w:val="11"/>
    <w:qFormat/>
    <w:uiPriority w:val="99"/>
    <w:rPr>
      <w:rFonts w:asciiTheme="minorHAnsi" w:hAnsiTheme="minorHAnsi" w:eastAsiaTheme="minorEastAsia" w:cstheme="minorBidi"/>
      <w:kern w:val="2"/>
      <w:sz w:val="18"/>
      <w:szCs w:val="18"/>
    </w:rPr>
  </w:style>
  <w:style w:type="character" w:customStyle="1" w:styleId="44">
    <w:name w:val="页眉 字符"/>
    <w:basedOn w:val="19"/>
    <w:link w:val="12"/>
    <w:qFormat/>
    <w:uiPriority w:val="99"/>
    <w:rPr>
      <w:rFonts w:asciiTheme="minorHAnsi" w:hAnsiTheme="minorHAnsi" w:eastAsiaTheme="minorEastAsia" w:cstheme="minorBidi"/>
      <w:kern w:val="2"/>
      <w:sz w:val="18"/>
      <w:szCs w:val="18"/>
    </w:rPr>
  </w:style>
  <w:style w:type="character" w:customStyle="1" w:styleId="45">
    <w:name w:val="font21"/>
    <w:basedOn w:val="19"/>
    <w:qFormat/>
    <w:uiPriority w:val="0"/>
    <w:rPr>
      <w:rFonts w:hint="eastAsia" w:ascii="宋体" w:hAnsi="宋体" w:eastAsia="宋体" w:cs="宋体"/>
      <w:color w:val="363641"/>
      <w:sz w:val="24"/>
      <w:szCs w:val="24"/>
      <w:u w:val="none"/>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4813</Words>
  <Characters>4908</Characters>
  <Lines>58</Lines>
  <Paragraphs>16</Paragraphs>
  <TotalTime>0</TotalTime>
  <ScaleCrop>false</ScaleCrop>
  <LinksUpToDate>false</LinksUpToDate>
  <CharactersWithSpaces>5000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2026-04-09T08:30:38Z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