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52号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输液泵</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输液泵</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4500元/台，年采购量不超过29.9万元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绵阳市中心医院各科室因工作需要，拟采购输液泵，协议期3年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0EB0BE9E">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配备≥3.5英寸彩色显示屏，搭载全中文可视化操作界面，输注参数、运行状态、报警提示等核心信息全屏清晰展示，操作便捷；</w:t>
      </w:r>
    </w:p>
    <w:p w14:paraId="754806FE">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输液精度±5%以内；</w:t>
      </w:r>
    </w:p>
    <w:p w14:paraId="20BA568A">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速率范围：≥0.1-2000ml/h, 最小步进0.01ml/h；</w:t>
      </w:r>
    </w:p>
    <w:p w14:paraId="2E7B0B26">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可自动统计四种累计量：24h累计量、最近累计量、自定义时间段累计量、定时间隔累计量；</w:t>
      </w:r>
    </w:p>
    <w:p w14:paraId="5ACCC9D7">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支持≥8种输液模式：速度模式、时间模式、体重模式、梯度模式、序列模式、剂量时间模式、和间断给药模式、点滴模式；</w:t>
      </w:r>
    </w:p>
    <w:p w14:paraId="40806B84">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支持镇痛药、化疗药、胰岛素输注；</w:t>
      </w:r>
    </w:p>
    <w:p w14:paraId="678B7225">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支持药物库，可储存≥5000种药物信息；</w:t>
      </w:r>
    </w:p>
    <w:p w14:paraId="061DA5E9">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支持药物色彩标识，选择不同类型药物时对应的药物色彩标识自动显示在屏幕上；</w:t>
      </w:r>
    </w:p>
    <w:p w14:paraId="40E37052">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在线动态压力监测，可实时显示当前压力数值，压力报警阈值多15档可调；</w:t>
      </w:r>
    </w:p>
    <w:p w14:paraId="0B2253C2">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具备阻塞后自动重启输液功能，短暂性阻塞触发报警后，泵检测到阻塞压力缓解时，无需人为干预，泵自动重新启动输液；</w:t>
      </w:r>
    </w:p>
    <w:p w14:paraId="7270A9FF">
      <w:pPr>
        <w:pStyle w:val="6"/>
        <w:widowControl/>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具备单个气泡和累积气泡报警功能，支持最小15μL的单个气泡报警；</w:t>
      </w:r>
    </w:p>
    <w:p w14:paraId="21723AFE">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信息储存：可存储≥5000条的历史记录；</w:t>
      </w:r>
    </w:p>
    <w:p w14:paraId="4A92AF98">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电池工作时间≥5小时（在25ml/h流速下）</w:t>
      </w:r>
    </w:p>
    <w:p w14:paraId="595F7C47">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防异物及进液等级≥IP34；</w:t>
      </w:r>
    </w:p>
    <w:p w14:paraId="77AD4AF9">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整机重量≤1.5kg；</w:t>
      </w:r>
    </w:p>
    <w:p w14:paraId="07EED4B6">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整机使用期限≥10年</w:t>
      </w:r>
    </w:p>
    <w:p w14:paraId="2A693928">
      <w:pPr>
        <w:pStyle w:val="6"/>
        <w:numPr>
          <w:ilvl w:val="0"/>
          <w:numId w:val="19"/>
        </w:numPr>
        <w:spacing w:before="0" w:after="0" w:line="240" w:lineRule="auto"/>
        <w:ind w:left="0" w:leftChars="0" w:firstLine="480" w:firstLineChars="2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现场需提供样品</w:t>
      </w:r>
    </w:p>
    <w:p w14:paraId="1EA494E1">
      <w:pPr>
        <w:pStyle w:val="6"/>
        <w:numPr>
          <w:numId w:val="0"/>
        </w:numPr>
        <w:spacing w:before="0" w:after="0" w:line="240" w:lineRule="auto"/>
        <w:ind w:leftChars="20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BE25353">
      <w:pPr>
        <w:pStyle w:val="46"/>
        <w:jc w:val="left"/>
        <w:rPr>
          <w:rFonts w:hint="eastAsia"/>
          <w:kern w:val="0"/>
          <w:sz w:val="24"/>
          <w:szCs w:val="24"/>
        </w:rPr>
      </w:pPr>
      <w:r>
        <w:rPr>
          <w:rFonts w:hint="eastAsia"/>
          <w:kern w:val="0"/>
          <w:sz w:val="24"/>
          <w:szCs w:val="24"/>
        </w:rPr>
        <w:t>1、成交供应商需在30日内与采购人签订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A7C5782">
      <w:pPr>
        <w:pStyle w:val="46"/>
        <w:jc w:val="left"/>
        <w:rPr>
          <w:rFonts w:hint="eastAsia"/>
          <w:kern w:val="0"/>
          <w:sz w:val="24"/>
          <w:szCs w:val="24"/>
        </w:rPr>
      </w:pPr>
      <w:r>
        <w:rPr>
          <w:rFonts w:hint="eastAsia"/>
          <w:kern w:val="0"/>
          <w:sz w:val="24"/>
          <w:szCs w:val="24"/>
        </w:rPr>
        <w:t>2、付款方式：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3EDB6A7F">
      <w:pPr>
        <w:pStyle w:val="46"/>
        <w:jc w:val="left"/>
        <w:rPr>
          <w:rFonts w:hint="eastAsia"/>
          <w:kern w:val="0"/>
          <w:sz w:val="24"/>
          <w:szCs w:val="24"/>
        </w:rPr>
      </w:pPr>
      <w:r>
        <w:rPr>
          <w:rFonts w:hint="eastAsia"/>
          <w:kern w:val="0"/>
          <w:sz w:val="24"/>
          <w:szCs w:val="24"/>
        </w:rPr>
        <w:t>3、验收要求：医学装备科和使用科室会同</w:t>
      </w:r>
      <w:r>
        <w:rPr>
          <w:rFonts w:hint="eastAsia"/>
          <w:kern w:val="0"/>
          <w:sz w:val="24"/>
          <w:szCs w:val="24"/>
          <w:lang w:val="en-US" w:eastAsia="zh-CN"/>
        </w:rPr>
        <w:t>供应商</w:t>
      </w:r>
      <w:r>
        <w:rPr>
          <w:rFonts w:hint="eastAsia"/>
          <w:kern w:val="0"/>
          <w:sz w:val="24"/>
          <w:szCs w:val="24"/>
        </w:rPr>
        <w:t>共同验收。</w:t>
      </w:r>
    </w:p>
    <w:p w14:paraId="4379201E">
      <w:pPr>
        <w:pStyle w:val="46"/>
        <w:jc w:val="left"/>
        <w:rPr>
          <w:rFonts w:hint="eastAsia"/>
          <w:kern w:val="0"/>
          <w:sz w:val="24"/>
          <w:szCs w:val="24"/>
          <w:lang w:val="en-US" w:eastAsia="zh-CN"/>
        </w:rPr>
      </w:pPr>
      <w:r>
        <w:rPr>
          <w:rFonts w:hint="eastAsia"/>
          <w:kern w:val="0"/>
          <w:sz w:val="24"/>
          <w:szCs w:val="24"/>
        </w:rPr>
        <w:t>4、售后服务：</w:t>
      </w:r>
      <w:r>
        <w:rPr>
          <w:rFonts w:hint="eastAsia"/>
          <w:kern w:val="0"/>
          <w:sz w:val="24"/>
          <w:szCs w:val="24"/>
          <w:lang w:val="en-US" w:eastAsia="zh-CN"/>
        </w:rPr>
        <w:t>保修期≥5年（包含电池）。</w:t>
      </w: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w:t>
      </w:r>
      <w:bookmarkStart w:id="78" w:name="_GoBack"/>
      <w:bookmarkEnd w:id="78"/>
      <w:r>
        <w:rPr>
          <w:rFonts w:hint="eastAsia" w:ascii="仿宋" w:hAnsi="仿宋" w:eastAsia="仿宋" w:cs="仿宋"/>
          <w:sz w:val="24"/>
          <w:szCs w:val="24"/>
        </w:rPr>
        <w:t>作为无效响应处理。</w:t>
      </w:r>
      <w:r>
        <w:br w:type="page"/>
      </w:r>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32749"/>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6803"/>
      <w:bookmarkStart w:id="28" w:name="_Toc17905"/>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599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2031"/>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1352"/>
      <w:bookmarkStart w:id="39" w:name="_Toc21519"/>
      <w:bookmarkStart w:id="40" w:name="_Toc16029"/>
      <w:bookmarkStart w:id="41" w:name="_Toc14829"/>
      <w:bookmarkStart w:id="42" w:name="_Toc6482"/>
      <w:bookmarkStart w:id="43"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1838"/>
      <w:bookmarkStart w:id="46" w:name="_Toc22676"/>
      <w:bookmarkStart w:id="47" w:name="_Toc30971"/>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12015"/>
      <w:bookmarkStart w:id="59" w:name="_Toc11351"/>
      <w:bookmarkStart w:id="60" w:name="_Toc27661"/>
      <w:bookmarkStart w:id="61" w:name="_Toc25638"/>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23967"/>
      <w:bookmarkStart w:id="65" w:name="_Toc2041"/>
      <w:bookmarkStart w:id="66" w:name="_Toc12967"/>
      <w:bookmarkStart w:id="67" w:name="_Toc16435"/>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376F804-20BB-4B5A-836E-9A158C92356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C0D0EC9-1BC9-4A0C-8D33-D23C325ED2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70178D8-5412-4A6E-990F-2CF4FF04395C}"/>
  </w:font>
  <w:font w:name="仿宋">
    <w:panose1 w:val="02010609060101010101"/>
    <w:charset w:val="86"/>
    <w:family w:val="modern"/>
    <w:pitch w:val="default"/>
    <w:sig w:usb0="800002BF" w:usb1="38CF7CFA" w:usb2="00000016" w:usb3="00000000" w:csb0="00040001" w:csb1="00000000"/>
    <w:embedRegular r:id="rId4" w:fontKey="{0F62DB33-2994-493A-A8D4-0A85B3A867FD}"/>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8E5490E8-7039-463E-9FF7-8C38777CD4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089DF201"/>
    <w:multiLevelType w:val="singleLevel"/>
    <w:tmpl w:val="089DF201"/>
    <w:lvl w:ilvl="0" w:tentative="0">
      <w:start w:val="1"/>
      <w:numFmt w:val="decimal"/>
      <w:suff w:val="nothing"/>
      <w:lvlText w:val="%1．"/>
      <w:lvlJc w:val="left"/>
      <w:pPr>
        <w:ind w:left="0" w:firstLine="400"/>
      </w:pPr>
      <w:rPr>
        <w:rFonts w:hint="default"/>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8C78B0"/>
    <w:rsid w:val="05D12E0E"/>
    <w:rsid w:val="05E13064"/>
    <w:rsid w:val="06043A48"/>
    <w:rsid w:val="06D56C36"/>
    <w:rsid w:val="06DD0510"/>
    <w:rsid w:val="07275343"/>
    <w:rsid w:val="078909F5"/>
    <w:rsid w:val="0797664C"/>
    <w:rsid w:val="07CA7DEC"/>
    <w:rsid w:val="08722396"/>
    <w:rsid w:val="093A3733"/>
    <w:rsid w:val="094F41B5"/>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4A47A80"/>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454ED4"/>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7DC0182"/>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4809</Words>
  <Characters>4904</Characters>
  <Lines>58</Lines>
  <Paragraphs>16</Paragraphs>
  <TotalTime>3</TotalTime>
  <ScaleCrop>false</ScaleCrop>
  <LinksUpToDate>false</LinksUpToDate>
  <CharactersWithSpaces>4996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2026-04-10T01:12:30Z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