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51号</w:t>
      </w:r>
    </w:p>
    <w:p w14:paraId="4002C554">
      <w:pPr>
        <w:ind w:firstLine="723" w:firstLineChars="200"/>
        <w:rPr>
          <w:rFonts w:hint="eastAsia" w:ascii="宋体" w:hAnsi="宋体"/>
          <w:b/>
          <w:color w:val="000000"/>
          <w:sz w:val="36"/>
        </w:rPr>
      </w:pPr>
    </w:p>
    <w:p w14:paraId="203576E3">
      <w:pPr>
        <w:ind w:firstLine="723" w:firstLineChars="200"/>
        <w:rPr>
          <w:rFonts w:hint="eastAsia" w:ascii="宋体" w:hAnsi="宋体"/>
          <w:b/>
          <w:color w:val="000000"/>
          <w:sz w:val="36"/>
        </w:rPr>
      </w:pPr>
      <w:r>
        <w:rPr>
          <w:rFonts w:hint="eastAsia" w:ascii="宋体" w:hAnsi="宋体"/>
          <w:b/>
          <w:color w:val="000000"/>
          <w:sz w:val="36"/>
        </w:rPr>
        <w:t>项目名称：</w:t>
      </w:r>
      <w:r>
        <w:rPr>
          <w:rFonts w:hint="eastAsia" w:ascii="宋体" w:hAnsi="宋体"/>
          <w:b/>
          <w:color w:val="000000"/>
          <w:sz w:val="36"/>
          <w:lang w:val="en-US" w:eastAsia="zh-CN"/>
        </w:rPr>
        <w:t>等离子空气消毒机</w:t>
      </w:r>
    </w:p>
    <w:p w14:paraId="6AD7194A">
      <w:pPr>
        <w:ind w:firstLine="723" w:firstLineChars="200"/>
        <w:rPr>
          <w:rFonts w:hint="eastAsia" w:ascii="宋体" w:hAnsi="宋体"/>
          <w:b/>
          <w:color w:val="000000"/>
          <w:sz w:val="36"/>
        </w:rPr>
      </w:pPr>
    </w:p>
    <w:p w14:paraId="411F97D1">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等离子空气消毒机</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51号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移动式3100元/台、壁挂式2800元/台，年采购量不超过29.9万元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193"/>
      <w:bookmarkStart w:id="6" w:name="_Toc12668"/>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绵阳市中心医院各科室因工作需要，拟采购等离子空气消毒机，协议期3年</w:t>
      </w:r>
      <w:r>
        <w:rPr>
          <w:rFonts w:hint="eastAsia"/>
          <w:kern w:val="0"/>
          <w:sz w:val="24"/>
          <w:szCs w:val="24"/>
        </w:rPr>
        <w:t>。</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4F7DBF3D">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ascii="Times New Roman" w:hAnsi="Times New Roman" w:eastAsia="宋体" w:cs="Times New Roman"/>
          <w:kern w:val="2"/>
          <w:sz w:val="24"/>
          <w:szCs w:val="24"/>
          <w:lang w:bidi="ar-SA"/>
        </w:rPr>
        <w:t>壳体与面板：</w:t>
      </w:r>
      <w:r>
        <w:rPr>
          <w:rFonts w:hint="eastAsia" w:asciiTheme="minorEastAsia" w:hAnsiTheme="minorEastAsia" w:eastAsiaTheme="minorEastAsia" w:cstheme="minorEastAsia"/>
          <w:kern w:val="2"/>
          <w:sz w:val="24"/>
          <w:szCs w:val="24"/>
          <w:lang w:bidi="ar-SA"/>
        </w:rPr>
        <w:t>主机壳体选用</w:t>
      </w:r>
      <w:r>
        <w:rPr>
          <w:rFonts w:hint="eastAsia" w:asciiTheme="minorEastAsia" w:hAnsiTheme="minorEastAsia" w:eastAsiaTheme="minorEastAsia" w:cstheme="minorEastAsia"/>
          <w:kern w:val="2"/>
          <w:sz w:val="24"/>
          <w:szCs w:val="24"/>
          <w:lang w:eastAsia="zh-CN" w:bidi="ar-SA"/>
        </w:rPr>
        <w:t>防撞</w:t>
      </w:r>
      <w:r>
        <w:rPr>
          <w:rFonts w:hint="eastAsia" w:asciiTheme="minorEastAsia" w:hAnsiTheme="minorEastAsia" w:eastAsiaTheme="minorEastAsia" w:cstheme="minorEastAsia"/>
          <w:kern w:val="2"/>
          <w:sz w:val="24"/>
          <w:szCs w:val="24"/>
          <w:lang w:bidi="ar-SA"/>
        </w:rPr>
        <w:t>材质，</w:t>
      </w:r>
      <w:r>
        <w:rPr>
          <w:rFonts w:ascii="Segoe UI" w:hAnsi="Segoe UI" w:eastAsia="Segoe UI" w:cs="Segoe UI"/>
          <w:i w:val="0"/>
          <w:iCs w:val="0"/>
          <w:caps w:val="0"/>
          <w:color w:val="060A26"/>
          <w:spacing w:val="0"/>
          <w:sz w:val="24"/>
          <w:szCs w:val="24"/>
          <w:shd w:val="clear" w:fill="FFFFFF"/>
        </w:rPr>
        <w:t>表面采用高光、耐磨、耐腐蚀材质</w:t>
      </w:r>
      <w:r>
        <w:rPr>
          <w:rFonts w:hint="eastAsia" w:ascii="Segoe UI" w:hAnsi="Segoe UI" w:eastAsia="宋体" w:cs="Segoe UI"/>
          <w:i w:val="0"/>
          <w:iCs w:val="0"/>
          <w:caps w:val="0"/>
          <w:color w:val="060A26"/>
          <w:spacing w:val="0"/>
          <w:sz w:val="24"/>
          <w:szCs w:val="24"/>
          <w:shd w:val="clear" w:fill="FFFFFF"/>
          <w:lang w:eastAsia="zh-CN"/>
        </w:rPr>
        <w:t>，</w:t>
      </w:r>
      <w:r>
        <w:rPr>
          <w:rFonts w:hint="eastAsia" w:asciiTheme="minorEastAsia" w:hAnsiTheme="minorEastAsia" w:eastAsiaTheme="minorEastAsia" w:cstheme="minorEastAsia"/>
          <w:kern w:val="2"/>
          <w:sz w:val="24"/>
          <w:szCs w:val="24"/>
          <w:lang w:bidi="ar-SA"/>
        </w:rPr>
        <w:t>表面平整无凹凸状，无卫生死角、便于清洁消杀。</w:t>
      </w:r>
    </w:p>
    <w:p w14:paraId="567817D8">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操控显示：配备触感式控制面板，搭配中文液晶显示屏，全中文操作界面，显示清晰、操作便捷。</w:t>
      </w:r>
    </w:p>
    <w:p w14:paraId="1CF6834A">
      <w:pPr>
        <w:keepNext w:val="0"/>
        <w:keepLines w:val="0"/>
        <w:widowControl/>
        <w:numPr>
          <w:ilvl w:val="0"/>
          <w:numId w:val="19"/>
        </w:numPr>
        <w:suppressLineNumbers w:val="0"/>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bidi="ar-SA"/>
        </w:rPr>
        <w:t>故障自动检测：</w:t>
      </w:r>
      <w:r>
        <w:rPr>
          <w:rFonts w:hint="eastAsia" w:asciiTheme="minorEastAsia" w:hAnsiTheme="minorEastAsia" w:eastAsiaTheme="minorEastAsia" w:cstheme="minorEastAsia"/>
          <w:kern w:val="0"/>
          <w:sz w:val="24"/>
          <w:szCs w:val="24"/>
          <w:lang w:val="en-US" w:eastAsia="zh-CN" w:bidi="ar"/>
        </w:rPr>
        <w:t>具备等离子发生器故障自动检测功能。</w:t>
      </w:r>
    </w:p>
    <w:p w14:paraId="660886B9">
      <w:pPr>
        <w:keepNext w:val="0"/>
        <w:keepLines w:val="0"/>
        <w:widowControl/>
        <w:numPr>
          <w:ilvl w:val="0"/>
          <w:numId w:val="19"/>
        </w:numPr>
        <w:suppressLineNumbers w:val="0"/>
        <w:ind w:left="0" w:lef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bidi="ar-SA"/>
        </w:rPr>
        <w:t>智能监测：</w:t>
      </w:r>
      <w:r>
        <w:rPr>
          <w:rFonts w:hint="eastAsia" w:asciiTheme="minorEastAsia" w:hAnsiTheme="minorEastAsia" w:eastAsiaTheme="minorEastAsia" w:cstheme="minorEastAsia"/>
          <w:kern w:val="2"/>
          <w:sz w:val="24"/>
          <w:szCs w:val="24"/>
          <w:lang w:val="en-US" w:eastAsia="zh-CN" w:bidi="ar-SA"/>
        </w:rPr>
        <w:t>支持等离子场强在线监测。</w:t>
      </w:r>
    </w:p>
    <w:p w14:paraId="094B49DB">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风速与风路设计：风速支持高、中、低三档可调；采用下进风上出风结构，风叶为金属材质，送风稳定耐用；支持≥2个通道立体式出风，提升消毒均匀度。</w:t>
      </w:r>
    </w:p>
    <w:p w14:paraId="066CC1F7">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多重过滤消毒：配备可重复使用初效、中效尘埃过滤网，搭配活性炭网除臭、光触媒除菌，实现辅助消毒净化。</w:t>
      </w:r>
    </w:p>
    <w:p w14:paraId="0BBC9F7A">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智能运维提醒：带有整机工作寿命计时、清洗保养自动提醒功能，便于设备日常管护。</w:t>
      </w:r>
    </w:p>
    <w:p w14:paraId="71A9BE8B">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遥控收纳设计：遥控器具备</w:t>
      </w:r>
      <w:r>
        <w:rPr>
          <w:rFonts w:hint="eastAsia" w:asciiTheme="minorEastAsia" w:hAnsiTheme="minorEastAsia" w:eastAsiaTheme="minorEastAsia" w:cstheme="minorEastAsia"/>
          <w:kern w:val="2"/>
          <w:sz w:val="24"/>
          <w:szCs w:val="24"/>
          <w:lang w:val="en-US" w:eastAsia="zh-CN" w:bidi="ar-SA"/>
        </w:rPr>
        <w:t>收纳功能</w:t>
      </w:r>
      <w:r>
        <w:rPr>
          <w:rFonts w:hint="eastAsia" w:asciiTheme="minorEastAsia" w:hAnsiTheme="minorEastAsia" w:eastAsiaTheme="minorEastAsia" w:cstheme="minorEastAsia"/>
          <w:kern w:val="2"/>
          <w:sz w:val="24"/>
          <w:szCs w:val="24"/>
          <w:lang w:bidi="ar-SA"/>
        </w:rPr>
        <w:t>，不易遗失。</w:t>
      </w:r>
    </w:p>
    <w:p w14:paraId="548CC1B0">
      <w:pPr>
        <w:keepNext w:val="0"/>
        <w:keepLines w:val="0"/>
        <w:widowControl/>
        <w:numPr>
          <w:ilvl w:val="0"/>
          <w:numId w:val="19"/>
        </w:numPr>
        <w:suppressLineNumbers w:val="0"/>
        <w:ind w:left="0" w:leftChars="0" w:firstLine="480" w:firstLineChars="200"/>
        <w:jc w:val="left"/>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人体工学设计：</w:t>
      </w:r>
      <w:r>
        <w:rPr>
          <w:rFonts w:hint="eastAsia" w:asciiTheme="minorEastAsia" w:hAnsiTheme="minorEastAsia" w:eastAsiaTheme="minorEastAsia" w:cstheme="minorEastAsia"/>
          <w:kern w:val="0"/>
          <w:sz w:val="24"/>
          <w:szCs w:val="24"/>
          <w:lang w:val="en-US" w:eastAsia="zh-CN" w:bidi="ar"/>
        </w:rPr>
        <w:t>移动式机型防滑设计，便于设备移动转运；壁挂式机型贴合墙面、安装稳固，不占用病区空间。</w:t>
      </w:r>
    </w:p>
    <w:p w14:paraId="6DB3322C">
      <w:pPr>
        <w:keepNext w:val="0"/>
        <w:keepLines w:val="0"/>
        <w:widowControl/>
        <w:numPr>
          <w:ilvl w:val="0"/>
          <w:numId w:val="19"/>
        </w:numPr>
        <w:suppressLineNumbers w:val="0"/>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bidi="ar-SA"/>
        </w:rPr>
        <w:t>设备外形：</w:t>
      </w:r>
      <w:r>
        <w:rPr>
          <w:rFonts w:hint="eastAsia" w:asciiTheme="minorEastAsia" w:hAnsiTheme="minorEastAsia" w:eastAsiaTheme="minorEastAsia" w:cstheme="minorEastAsia"/>
          <w:kern w:val="0"/>
          <w:sz w:val="24"/>
          <w:szCs w:val="24"/>
          <w:lang w:val="en-US" w:eastAsia="zh-CN" w:bidi="ar"/>
        </w:rPr>
        <w:t>分为壁挂式、移动式两类，机身紧凑，适配不同安装与使用场景。</w:t>
      </w:r>
    </w:p>
    <w:p w14:paraId="5EBBDFC3">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适用消毒体积：≥</w:t>
      </w:r>
      <w:r>
        <w:rPr>
          <w:rFonts w:hint="eastAsia" w:asciiTheme="minorEastAsia" w:hAnsiTheme="minorEastAsia" w:eastAsiaTheme="minorEastAsia" w:cstheme="minorEastAsia"/>
          <w:kern w:val="2"/>
          <w:sz w:val="24"/>
          <w:szCs w:val="24"/>
          <w:lang w:val="en-US" w:eastAsia="zh-CN" w:bidi="ar-SA"/>
        </w:rPr>
        <w:t>100</w:t>
      </w:r>
      <w:r>
        <w:rPr>
          <w:rFonts w:hint="eastAsia" w:asciiTheme="minorEastAsia" w:hAnsiTheme="minorEastAsia" w:eastAsiaTheme="minorEastAsia" w:cstheme="minorEastAsia"/>
          <w:kern w:val="2"/>
          <w:sz w:val="24"/>
          <w:szCs w:val="24"/>
          <w:lang w:bidi="ar-SA"/>
        </w:rPr>
        <w:t>m³，满足医院大空间病区消毒需求。</w:t>
      </w:r>
    </w:p>
    <w:p w14:paraId="19E615A5">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循环消毒风量：≥1000m³/h，保障空气循环消毒效率。</w:t>
      </w:r>
    </w:p>
    <w:p w14:paraId="6DF6BB11">
      <w:pPr>
        <w:keepNext w:val="0"/>
        <w:keepLines w:val="0"/>
        <w:widowControl/>
        <w:numPr>
          <w:ilvl w:val="0"/>
          <w:numId w:val="19"/>
        </w:numPr>
        <w:suppressLineNumbers w:val="0"/>
        <w:ind w:left="0" w:lef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等离子机型满足国家对应消毒强度标准，需提供第三方检测报告佐证。</w:t>
      </w:r>
    </w:p>
    <w:p w14:paraId="148DA37B">
      <w:pPr>
        <w:keepNext w:val="0"/>
        <w:keepLines w:val="0"/>
        <w:widowControl/>
        <w:numPr>
          <w:ilvl w:val="0"/>
          <w:numId w:val="19"/>
        </w:numPr>
        <w:suppressLineNumbers w:val="0"/>
        <w:ind w:left="0" w:leftChars="0" w:firstLine="480" w:firstLineChars="200"/>
        <w:jc w:val="left"/>
        <w:rPr>
          <w:rFonts w:hint="eastAsia" w:asciiTheme="minorEastAsia" w:hAnsiTheme="minorEastAsia" w:eastAsiaTheme="minorEastAsia" w:cstheme="minorEastAsia"/>
          <w:b w:val="0"/>
          <w:kern w:val="2"/>
          <w:sz w:val="24"/>
          <w:szCs w:val="24"/>
          <w:lang w:eastAsia="zh-CN" w:bidi="ar-SA"/>
        </w:rPr>
      </w:pPr>
      <w:r>
        <w:rPr>
          <w:rFonts w:hint="eastAsia" w:asciiTheme="minorEastAsia" w:hAnsiTheme="minorEastAsia" w:eastAsiaTheme="minorEastAsia" w:cstheme="minorEastAsia"/>
          <w:kern w:val="0"/>
          <w:sz w:val="24"/>
          <w:szCs w:val="24"/>
          <w:lang w:val="en-US" w:eastAsia="zh-CN" w:bidi="ar"/>
        </w:rPr>
        <w:t>等离子机型发生器使用寿命≥8000h。</w:t>
      </w:r>
    </w:p>
    <w:p w14:paraId="22BAB58A">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臭氧排放量：消毒时空气中臭氧量≤0.0</w:t>
      </w:r>
      <w:r>
        <w:rPr>
          <w:rFonts w:hint="eastAsia" w:asciiTheme="minorEastAsia" w:hAnsiTheme="minorEastAsia" w:eastAsia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bidi="ar-SA"/>
        </w:rPr>
        <w:t>mg/m³，需提供第三方检测报告佐证，安全无残留。</w:t>
      </w:r>
    </w:p>
    <w:p w14:paraId="51B3DB74">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自然菌消亡率：≥97%，需提供第三方检测报告佐证，消毒效果达标。</w:t>
      </w:r>
    </w:p>
    <w:p w14:paraId="22173874">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消毒后细菌总数：≤21cfu/m³，符合医院Ⅱ、Ⅲ类环境标准，需提供第三方检测报告佐证。</w:t>
      </w:r>
    </w:p>
    <w:p w14:paraId="1B079106">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安全防护参数：负离子发生量≥6×10⁶个/cm³</w:t>
      </w:r>
      <w:r>
        <w:rPr>
          <w:rFonts w:hint="eastAsia" w:asciiTheme="minorEastAsia" w:hAnsiTheme="minorEastAsia" w:eastAsiaTheme="minorEastAsia" w:cstheme="minorEastAsia"/>
          <w:kern w:val="2"/>
          <w:sz w:val="24"/>
          <w:szCs w:val="24"/>
          <w:lang w:eastAsia="zh-CN" w:bidi="ar-SA"/>
        </w:rPr>
        <w:t>，</w:t>
      </w:r>
      <w:r>
        <w:rPr>
          <w:rFonts w:hint="eastAsia" w:asciiTheme="minorEastAsia" w:hAnsiTheme="minorEastAsia" w:eastAsiaTheme="minorEastAsia" w:cstheme="minorEastAsia"/>
          <w:i w:val="0"/>
          <w:iCs w:val="0"/>
          <w:caps w:val="0"/>
          <w:color w:val="060A26"/>
          <w:spacing w:val="0"/>
          <w:sz w:val="24"/>
          <w:szCs w:val="24"/>
        </w:rPr>
        <w:t>具备负离子辅助沉降尘埃功能</w:t>
      </w:r>
      <w:r>
        <w:rPr>
          <w:rFonts w:hint="eastAsia" w:asciiTheme="minorEastAsia" w:hAnsiTheme="minorEastAsia" w:eastAsiaTheme="minorEastAsia" w:cstheme="minorEastAsia"/>
          <w:kern w:val="2"/>
          <w:sz w:val="24"/>
          <w:szCs w:val="24"/>
          <w:lang w:bidi="ar-SA"/>
        </w:rPr>
        <w:t>；</w:t>
      </w:r>
      <w:r>
        <w:rPr>
          <w:rFonts w:hint="eastAsia" w:asciiTheme="minorEastAsia" w:hAnsiTheme="minorEastAsia" w:eastAsiaTheme="minorEastAsia" w:cstheme="minorEastAsia"/>
          <w:i w:val="0"/>
          <w:iCs w:val="0"/>
          <w:caps w:val="0"/>
          <w:color w:val="060A26"/>
          <w:spacing w:val="0"/>
          <w:sz w:val="24"/>
          <w:szCs w:val="24"/>
        </w:rPr>
        <w:t>高档位噪音≤55dB(A)，低档位噪音≤45dB(A)</w:t>
      </w:r>
      <w:r>
        <w:rPr>
          <w:rFonts w:hint="eastAsia" w:asciiTheme="minorEastAsia" w:hAnsiTheme="minorEastAsia" w:eastAsiaTheme="minorEastAsia" w:cstheme="minorEastAsia"/>
          <w:kern w:val="2"/>
          <w:sz w:val="24"/>
          <w:szCs w:val="24"/>
          <w:lang w:bidi="ar-SA"/>
        </w:rPr>
        <w:t>。</w:t>
      </w:r>
    </w:p>
    <w:p w14:paraId="636ABFFF">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kern w:val="2"/>
          <w:sz w:val="24"/>
          <w:szCs w:val="24"/>
          <w:lang w:bidi="ar-SA"/>
        </w:rPr>
        <w:t>可</w:t>
      </w:r>
      <w:r>
        <w:rPr>
          <w:rFonts w:hint="eastAsia" w:asciiTheme="minorEastAsia" w:hAnsiTheme="minorEastAsia" w:eastAsiaTheme="minorEastAsia" w:cstheme="minorEastAsia"/>
          <w:b w:val="0"/>
          <w:kern w:val="2"/>
          <w:sz w:val="24"/>
          <w:szCs w:val="24"/>
          <w:lang w:bidi="ar-SA"/>
        </w:rPr>
        <w:t>调功能：面板消毒时间可自由调节，适配不同消毒场景需求。</w:t>
      </w:r>
    </w:p>
    <w:p w14:paraId="18E7D506">
      <w:pPr>
        <w:widowControl w:val="0"/>
        <w:numPr>
          <w:ilvl w:val="0"/>
          <w:numId w:val="19"/>
        </w:numPr>
        <w:adjustRightInd w:val="0"/>
        <w:spacing w:afterLines="0" w:afterAutospacing="0" w:line="240" w:lineRule="auto"/>
        <w:ind w:left="0" w:leftChars="0" w:firstLine="480" w:firstLineChars="200"/>
        <w:jc w:val="both"/>
        <w:rPr>
          <w:rFonts w:hint="eastAsia" w:asciiTheme="minorEastAsia" w:hAnsiTheme="minorEastAsia" w:eastAsiaTheme="minorEastAsia" w:cstheme="minorEastAsia"/>
          <w:b w:val="0"/>
          <w:kern w:val="2"/>
          <w:sz w:val="24"/>
          <w:szCs w:val="24"/>
          <w:lang w:bidi="ar-SA"/>
        </w:rPr>
      </w:pPr>
      <w:r>
        <w:rPr>
          <w:rFonts w:hint="eastAsia" w:asciiTheme="minorEastAsia" w:hAnsiTheme="minorEastAsia" w:eastAsiaTheme="minorEastAsia" w:cstheme="minorEastAsia"/>
          <w:b w:val="0"/>
          <w:kern w:val="2"/>
          <w:sz w:val="24"/>
          <w:szCs w:val="24"/>
          <w:lang w:bidi="ar-SA"/>
        </w:rPr>
        <w:t>电气安全： 符合GB 4706.1及GB 4793.1相关要求，具备I类B型设备防护等级。</w:t>
      </w:r>
    </w:p>
    <w:p w14:paraId="53B79200">
      <w:pPr>
        <w:numPr>
          <w:ilvl w:val="0"/>
          <w:numId w:val="0"/>
        </w:num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kern w:val="2"/>
          <w:sz w:val="24"/>
          <w:szCs w:val="24"/>
          <w:lang w:val="en-US" w:eastAsia="zh-CN" w:bidi="ar-SA"/>
        </w:rPr>
        <w:t>21.</w:t>
      </w:r>
      <w:r>
        <w:rPr>
          <w:rFonts w:hint="eastAsia" w:asciiTheme="minorEastAsia" w:hAnsiTheme="minorEastAsia" w:eastAsiaTheme="minorEastAsia" w:cstheme="minorEastAsia"/>
          <w:kern w:val="2"/>
          <w:sz w:val="24"/>
          <w:szCs w:val="24"/>
          <w:lang w:bidi="ar-SA"/>
        </w:rPr>
        <w:t>整机使用寿命：≥8年。</w:t>
      </w: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C5225F6">
      <w:pPr>
        <w:pStyle w:val="46"/>
        <w:ind w:firstLine="240" w:firstLineChars="100"/>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5463B9AF">
      <w:pPr>
        <w:pStyle w:val="46"/>
        <w:ind w:firstLine="240" w:firstLineChars="100"/>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39BE1798">
      <w:pPr>
        <w:pStyle w:val="46"/>
        <w:ind w:firstLine="240" w:firstLineChars="100"/>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1E210403">
      <w:pPr>
        <w:pStyle w:val="7"/>
        <w:spacing w:line="360" w:lineRule="auto"/>
        <w:ind w:firstLine="240" w:firstLineChars="100"/>
        <w:rPr>
          <w:rFonts w:hint="eastAsia" w:asciiTheme="minorHAnsi" w:hAnsiTheme="minorHAnsi" w:eastAsiaTheme="minorEastAsia" w:cstheme="minorBidi"/>
          <w:kern w:val="0"/>
          <w:sz w:val="24"/>
          <w:szCs w:val="24"/>
          <w:lang w:val="en-US" w:eastAsia="zh-CN" w:bidi="ar-SA"/>
        </w:rPr>
      </w:pPr>
      <w:r>
        <w:rPr>
          <w:rFonts w:hint="eastAsia" w:asciiTheme="minorHAnsi" w:hAnsiTheme="minorHAnsi" w:eastAsiaTheme="minorEastAsia" w:cstheme="minorBidi"/>
          <w:kern w:val="0"/>
          <w:sz w:val="24"/>
          <w:szCs w:val="24"/>
          <w:lang w:val="en-US" w:eastAsia="zh-CN" w:bidi="ar-SA"/>
        </w:rPr>
        <w:t>4、售后服务：保修期≥3年。</w:t>
      </w:r>
      <w:bookmarkStart w:id="78" w:name="_GoBack"/>
      <w:bookmarkEnd w:id="78"/>
    </w:p>
    <w:p w14:paraId="49357539">
      <w:pPr>
        <w:pStyle w:val="7"/>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16344"/>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29819"/>
      <w:bookmarkStart w:id="13" w:name="_Toc5913"/>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9041"/>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4097"/>
      <w:bookmarkStart w:id="21" w:name="_Toc21472"/>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17163"/>
      <w:bookmarkStart w:id="24" w:name="_Toc24859"/>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24123"/>
      <w:bookmarkStart w:id="27" w:name="_Toc6803"/>
      <w:bookmarkStart w:id="28" w:name="_Toc17905"/>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5996"/>
      <w:bookmarkStart w:id="31" w:name="_Toc2989"/>
      <w:bookmarkStart w:id="32" w:name="_Toc27526"/>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2031"/>
      <w:bookmarkStart w:id="36" w:name="_Toc7233"/>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6482"/>
      <w:bookmarkStart w:id="39" w:name="_Toc14829"/>
      <w:bookmarkStart w:id="40" w:name="_Toc16029"/>
      <w:bookmarkStart w:id="41" w:name="_Toc11352"/>
      <w:bookmarkStart w:id="42" w:name="_Toc3023"/>
      <w:bookmarkStart w:id="43" w:name="_Toc21519"/>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31838"/>
      <w:bookmarkStart w:id="45" w:name="_Toc30971"/>
      <w:bookmarkStart w:id="46" w:name="_Toc4305"/>
      <w:bookmarkStart w:id="47" w:name="_Toc22676"/>
      <w:bookmarkStart w:id="48" w:name="_Toc17857"/>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706"/>
      <w:bookmarkStart w:id="53" w:name="_Toc13904"/>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12015"/>
      <w:bookmarkStart w:id="58" w:name="_Toc27661"/>
      <w:bookmarkStart w:id="59" w:name="_Toc15526"/>
      <w:bookmarkStart w:id="60" w:name="_Toc11351"/>
      <w:bookmarkStart w:id="61" w:name="_Toc20589"/>
      <w:bookmarkStart w:id="62" w:name="_Toc25638"/>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2041"/>
      <w:bookmarkStart w:id="64" w:name="_Toc16435"/>
      <w:bookmarkStart w:id="65" w:name="_Toc1074"/>
      <w:bookmarkStart w:id="66" w:name="_Toc26969"/>
      <w:bookmarkStart w:id="67" w:name="_Toc12967"/>
      <w:bookmarkStart w:id="68" w:name="_Toc23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29032"/>
      <w:bookmarkStart w:id="75"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7542728-A861-43BF-930F-4B7A905093A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67DF2D6-0DC3-4F2C-A9CD-1D9CC83AFE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4F3736A-FAFE-413F-9851-FE145E9170C9}"/>
  </w:font>
  <w:font w:name="仿宋">
    <w:panose1 w:val="02010609060101010101"/>
    <w:charset w:val="86"/>
    <w:family w:val="modern"/>
    <w:pitch w:val="default"/>
    <w:sig w:usb0="800002BF" w:usb1="38CF7CFA" w:usb2="00000016" w:usb3="00000000" w:csb0="00040001" w:csb1="00000000"/>
    <w:embedRegular r:id="rId4" w:fontKey="{213EE9B7-DE1D-42C6-8545-B085F86F0071}"/>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5" w:fontKey="{6CCF7542-A8E5-42A2-A1E8-1E0937B2720D}"/>
  </w:font>
  <w:font w:name="Segoe UI">
    <w:panose1 w:val="020B0502040204020203"/>
    <w:charset w:val="00"/>
    <w:family w:val="auto"/>
    <w:pitch w:val="default"/>
    <w:sig w:usb0="E4002EFF" w:usb1="C000E47F" w:usb2="00000009" w:usb3="00000000" w:csb0="200001FF" w:csb1="00000000"/>
    <w:embedRegular r:id="rId6" w:fontKey="{EAE457F6-F5E6-4019-BB41-A0BE9BA837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DD03CF6"/>
    <w:multiLevelType w:val="singleLevel"/>
    <w:tmpl w:val="3DD03CF6"/>
    <w:lvl w:ilvl="0" w:tentative="0">
      <w:start w:val="1"/>
      <w:numFmt w:val="decimal"/>
      <w:suff w:val="nothing"/>
      <w:lvlText w:val="%1．"/>
      <w:lvlJc w:val="left"/>
      <w:pPr>
        <w:ind w:left="0" w:firstLine="400"/>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5"/>
  </w:num>
  <w:num w:numId="4">
    <w:abstractNumId w:val="18"/>
  </w:num>
  <w:num w:numId="5">
    <w:abstractNumId w:val="11"/>
  </w:num>
  <w:num w:numId="6">
    <w:abstractNumId w:val="17"/>
  </w:num>
  <w:num w:numId="7">
    <w:abstractNumId w:val="13"/>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3034D0"/>
    <w:rsid w:val="058C78B0"/>
    <w:rsid w:val="05D12E0E"/>
    <w:rsid w:val="05E13064"/>
    <w:rsid w:val="06043A48"/>
    <w:rsid w:val="06D56C36"/>
    <w:rsid w:val="06DD0510"/>
    <w:rsid w:val="07275343"/>
    <w:rsid w:val="078909F5"/>
    <w:rsid w:val="0797664C"/>
    <w:rsid w:val="07CA7DEC"/>
    <w:rsid w:val="08722396"/>
    <w:rsid w:val="093A3733"/>
    <w:rsid w:val="094F41B5"/>
    <w:rsid w:val="095073FA"/>
    <w:rsid w:val="0A2B3D50"/>
    <w:rsid w:val="0A5B6C7C"/>
    <w:rsid w:val="0ABB1787"/>
    <w:rsid w:val="0B223ED3"/>
    <w:rsid w:val="0B395F4B"/>
    <w:rsid w:val="0B4276FF"/>
    <w:rsid w:val="0B4508AE"/>
    <w:rsid w:val="0B574F31"/>
    <w:rsid w:val="0BF34D9F"/>
    <w:rsid w:val="0C375F99"/>
    <w:rsid w:val="0CD33899"/>
    <w:rsid w:val="0DA80FAA"/>
    <w:rsid w:val="0DAF6962"/>
    <w:rsid w:val="0DCE2B6B"/>
    <w:rsid w:val="0E0B7FF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D7144"/>
    <w:rsid w:val="2B563B49"/>
    <w:rsid w:val="2BD274F4"/>
    <w:rsid w:val="2C7C33D1"/>
    <w:rsid w:val="2C9A0A9E"/>
    <w:rsid w:val="2CC93AF1"/>
    <w:rsid w:val="2CDF3C0F"/>
    <w:rsid w:val="2CE462F8"/>
    <w:rsid w:val="2DA70D65"/>
    <w:rsid w:val="2E8822E7"/>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4E7DFC"/>
    <w:rsid w:val="3C1063F2"/>
    <w:rsid w:val="3CBC5C91"/>
    <w:rsid w:val="3D375AA1"/>
    <w:rsid w:val="3D931F15"/>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2B21B59"/>
    <w:rsid w:val="52EC23F5"/>
    <w:rsid w:val="53854CE8"/>
    <w:rsid w:val="53BF0A7B"/>
    <w:rsid w:val="5455382C"/>
    <w:rsid w:val="545E542E"/>
    <w:rsid w:val="54A47A80"/>
    <w:rsid w:val="566B5FD6"/>
    <w:rsid w:val="56A53892"/>
    <w:rsid w:val="56FB3CBC"/>
    <w:rsid w:val="5728175E"/>
    <w:rsid w:val="5734171E"/>
    <w:rsid w:val="57BE2E73"/>
    <w:rsid w:val="57C512E5"/>
    <w:rsid w:val="585D60C3"/>
    <w:rsid w:val="586B0701"/>
    <w:rsid w:val="58A42537"/>
    <w:rsid w:val="58BD4DB3"/>
    <w:rsid w:val="59286AAB"/>
    <w:rsid w:val="59710D46"/>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9A7DDE"/>
    <w:rsid w:val="69D50CF4"/>
    <w:rsid w:val="6A0635D8"/>
    <w:rsid w:val="6A083A52"/>
    <w:rsid w:val="6AA97CAB"/>
    <w:rsid w:val="6AD401BA"/>
    <w:rsid w:val="6C487AFD"/>
    <w:rsid w:val="6CB24363"/>
    <w:rsid w:val="6D551EC8"/>
    <w:rsid w:val="6DA52693"/>
    <w:rsid w:val="6DE728CA"/>
    <w:rsid w:val="6E182D60"/>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0"/>
    <w:qFormat/>
    <w:uiPriority w:val="0"/>
    <w:pPr>
      <w:spacing w:after="120" w:line="480" w:lineRule="auto"/>
      <w:ind w:left="420" w:leftChars="200"/>
    </w:pPr>
    <w:rPr>
      <w:szCs w:val="20"/>
    </w:rPr>
  </w:style>
  <w:style w:type="paragraph" w:styleId="11">
    <w:name w:val="Balloon Text"/>
    <w:basedOn w:val="1"/>
    <w:link w:val="37"/>
    <w:qFormat/>
    <w:uiPriority w:val="0"/>
    <w:rPr>
      <w:sz w:val="18"/>
      <w:szCs w:val="18"/>
    </w:rPr>
  </w:style>
  <w:style w:type="paragraph" w:styleId="12">
    <w:name w:val="footer"/>
    <w:basedOn w:val="1"/>
    <w:link w:val="42"/>
    <w:unhideWhenUsed/>
    <w:qFormat/>
    <w:uiPriority w:val="99"/>
    <w:pPr>
      <w:tabs>
        <w:tab w:val="center" w:pos="4153"/>
        <w:tab w:val="right" w:pos="8306"/>
      </w:tabs>
      <w:snapToGrid w:val="0"/>
      <w:jc w:val="left"/>
    </w:pPr>
    <w:rPr>
      <w:sz w:val="18"/>
      <w:szCs w:val="18"/>
    </w:rPr>
  </w:style>
  <w:style w:type="paragraph" w:styleId="13">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5"/>
    <w:next w:val="5"/>
    <w:link w:val="36"/>
    <w:qFormat/>
    <w:uiPriority w:val="0"/>
    <w:rPr>
      <w:b/>
      <w:bCs/>
    </w:rPr>
  </w:style>
  <w:style w:type="paragraph" w:styleId="16">
    <w:name w:val="Body Text First Indent 2"/>
    <w:basedOn w:val="8"/>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10"/>
    <w:qFormat/>
    <w:uiPriority w:val="0"/>
    <w:rPr>
      <w:szCs w:val="20"/>
    </w:rPr>
  </w:style>
  <w:style w:type="character" w:customStyle="1" w:styleId="31">
    <w:name w:val="正文首行缩进 字符"/>
    <w:link w:val="7"/>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5"/>
    <w:qFormat/>
    <w:uiPriority w:val="0"/>
    <w:rPr>
      <w:b/>
      <w:bCs/>
      <w:kern w:val="2"/>
      <w:sz w:val="21"/>
      <w:szCs w:val="22"/>
    </w:rPr>
  </w:style>
  <w:style w:type="character" w:customStyle="1" w:styleId="37">
    <w:name w:val="批注框文本 字符"/>
    <w:basedOn w:val="19"/>
    <w:link w:val="11"/>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2"/>
    <w:qFormat/>
    <w:uiPriority w:val="99"/>
    <w:rPr>
      <w:rFonts w:asciiTheme="minorHAnsi" w:hAnsiTheme="minorHAnsi" w:eastAsiaTheme="minorEastAsia" w:cstheme="minorBidi"/>
      <w:kern w:val="2"/>
      <w:sz w:val="18"/>
      <w:szCs w:val="18"/>
    </w:rPr>
  </w:style>
  <w:style w:type="character" w:customStyle="1" w:styleId="43">
    <w:name w:val="页眉 字符"/>
    <w:basedOn w:val="19"/>
    <w:link w:val="13"/>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1366</Words>
  <Characters>1446</Characters>
  <Lines>58</Lines>
  <Paragraphs>16</Paragraphs>
  <TotalTime>26</TotalTime>
  <ScaleCrop>false</ScaleCrop>
  <LinksUpToDate>false</LinksUpToDate>
  <CharactersWithSpaces>1528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2026-04-10T01:08:18Z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