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比选（2026）043号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非吸收性外科缝线</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非吸收性外科缝线</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left="210" w:leftChars="100" w:firstLine="1980" w:firstLineChars="900"/>
              <w:rPr>
                <w:rFonts w:hint="eastAsia" w:ascii="仿宋" w:hAnsi="仿宋" w:cs="仿宋" w:eastAsiaTheme="minorEastAsia"/>
                <w:sz w:val="22"/>
                <w:lang w:eastAsia="zh-CN"/>
              </w:rPr>
            </w:pPr>
            <w:r>
              <w:rPr>
                <w:rFonts w:hint="eastAsia" w:ascii="仿宋" w:hAnsi="仿宋" w:eastAsia="仿宋" w:cs="仿宋"/>
                <w:sz w:val="22"/>
                <w:lang w:eastAsia="zh-CN"/>
              </w:rPr>
              <w:t xml:space="preserve"> MYCH 比选（2026）043号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3"/>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193"/>
      <w:bookmarkStart w:id="8" w:name="_Toc12668"/>
      <w:bookmarkStart w:id="9" w:name="_Toc398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val="en-US" w:eastAsia="zh-CN" w:bidi="ar"/>
        </w:rPr>
        <w:t xml:space="preserve"> 用于眼科等手术过程中的软组织伤口缝合和/或结扎。</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8"/>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眼科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bookmarkStart w:id="80" w:name="_GoBack"/>
            <w:r>
              <w:rPr>
                <w:rFonts w:hint="eastAsia" w:ascii="宋体" w:hAnsi="宋体" w:eastAsia="宋体" w:cs="宋体"/>
                <w:kern w:val="0"/>
                <w:sz w:val="18"/>
                <w:szCs w:val="18"/>
                <w:lang w:eastAsia="zh-CN" w:bidi="ar"/>
              </w:rPr>
              <w:t>非吸收性外科缝线</w:t>
            </w:r>
            <w:bookmarkEnd w:id="80"/>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3495B126">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用于眼科等手术过程中的软组织伤口缝合和/或结扎。2、四川省《药品和医用耗材招采管理系统》价格联动挂网专区挂网的产品。3、可计费材料医保码在四川省医保局可查询。4、需提供样品。5、医保代码前10位：C140802184。</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6"/>
        <w:ind w:firstLine="0"/>
      </w:pPr>
    </w:p>
    <w:p w14:paraId="3AE3A758">
      <w:pPr>
        <w:rPr>
          <w:rFonts w:hint="eastAsia"/>
        </w:rPr>
      </w:pPr>
      <w:bookmarkStart w:id="10" w:name="_Toc22827"/>
      <w:bookmarkStart w:id="11" w:name="_Toc3094"/>
      <w:bookmarkStart w:id="12" w:name="_Toc16344"/>
    </w:p>
    <w:p w14:paraId="433F20CC">
      <w:pPr>
        <w:rPr>
          <w:rFonts w:hint="eastAsia"/>
        </w:rPr>
      </w:pPr>
    </w:p>
    <w:p w14:paraId="7E3EF459">
      <w:pPr>
        <w:rPr>
          <w:rFonts w:hint="eastAsia"/>
        </w:rPr>
      </w:pPr>
    </w:p>
    <w:p w14:paraId="43989AAB">
      <w:pPr>
        <w:rPr>
          <w:rFonts w:hint="eastAsia"/>
        </w:rPr>
      </w:pPr>
    </w:p>
    <w:p w14:paraId="2CF19B55">
      <w:pPr>
        <w:rPr>
          <w:rFonts w:hint="eastAsia"/>
        </w:rPr>
      </w:pPr>
    </w:p>
    <w:p w14:paraId="7FF15D9F">
      <w:pPr>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29819"/>
      <w:bookmarkStart w:id="14" w:name="_Toc5913"/>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9428"/>
      <w:bookmarkStart w:id="17" w:name="_Toc19851"/>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32352"/>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690"/>
      <w:bookmarkStart w:id="25" w:name="_Toc24859"/>
      <w:bookmarkStart w:id="26" w:name="_Toc32749"/>
      <w:bookmarkStart w:id="27" w:name="_Toc17163"/>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3558"/>
      <w:bookmarkStart w:id="29" w:name="_Toc24123"/>
      <w:bookmarkStart w:id="30" w:name="_Toc17905"/>
      <w:bookmarkStart w:id="31" w:name="_Toc680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989"/>
      <w:bookmarkStart w:id="33" w:name="_Toc27135"/>
      <w:bookmarkStart w:id="34" w:name="_Toc27526"/>
      <w:bookmarkStart w:id="35" w:name="_Toc599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2031"/>
      <w:bookmarkStart w:id="38" w:name="_Toc5056"/>
      <w:bookmarkStart w:id="39" w:name="_Toc19987"/>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6482"/>
      <w:bookmarkStart w:id="41" w:name="_Toc21519"/>
      <w:bookmarkStart w:id="42" w:name="_Toc3023"/>
      <w:bookmarkStart w:id="43" w:name="_Toc16029"/>
      <w:bookmarkStart w:id="44" w:name="_Toc14829"/>
      <w:bookmarkStart w:id="45" w:name="_Toc11352"/>
    </w:p>
    <w:p w14:paraId="7C5B7BDD">
      <w:pPr>
        <w:rPr>
          <w:rFonts w:hint="eastAsia" w:eastAsiaTheme="minorEastAsia"/>
          <w:lang w:eastAsia="zh-CN"/>
        </w:rPr>
      </w:pPr>
      <w:r>
        <w:rPr>
          <w:rStyle w:val="31"/>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22676"/>
      <w:bookmarkStart w:id="48" w:name="_Toc4305"/>
      <w:bookmarkStart w:id="49" w:name="_Toc17857"/>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1"/>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30"/>
        <w:ind w:left="420" w:leftChars="200"/>
        <w:jc w:val="both"/>
        <w:rPr>
          <w:rFonts w:ascii="仿宋" w:hAnsi="仿宋" w:eastAsia="仿宋" w:cs="仿宋"/>
          <w:color w:val="auto"/>
        </w:rPr>
      </w:pPr>
    </w:p>
    <w:p w14:paraId="374C0F5B">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7661"/>
      <w:bookmarkStart w:id="60" w:name="_Toc11351"/>
      <w:bookmarkStart w:id="61" w:name="_Toc20589"/>
      <w:bookmarkStart w:id="62" w:name="_Toc12015"/>
      <w:bookmarkStart w:id="63" w:name="_Toc15526"/>
      <w:bookmarkStart w:id="64" w:name="_Toc25638"/>
      <w:r>
        <w:rPr>
          <w:rStyle w:val="39"/>
          <w:rFonts w:hint="eastAsia"/>
          <w:b/>
        </w:rPr>
        <w:t>法定代表人身份证明书</w:t>
      </w:r>
      <w:bookmarkEnd w:id="59"/>
      <w:bookmarkEnd w:id="60"/>
      <w:bookmarkEnd w:id="61"/>
      <w:bookmarkEnd w:id="62"/>
      <w:bookmarkEnd w:id="63"/>
      <w:bookmarkEnd w:id="64"/>
    </w:p>
    <w:p w14:paraId="68BAAB4D">
      <w:pPr>
        <w:pStyle w:val="30"/>
        <w:jc w:val="center"/>
        <w:rPr>
          <w:rFonts w:ascii="仿宋" w:hAnsi="仿宋" w:eastAsia="仿宋" w:cs="仿宋"/>
          <w:color w:val="auto"/>
        </w:rPr>
      </w:pPr>
    </w:p>
    <w:p w14:paraId="5B6A9735">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30"/>
        <w:jc w:val="center"/>
        <w:rPr>
          <w:rFonts w:ascii="仿宋" w:hAnsi="仿宋" w:eastAsia="仿宋" w:cs="仿宋"/>
          <w:color w:val="auto"/>
        </w:rPr>
      </w:pPr>
    </w:p>
    <w:p w14:paraId="7D4150AC">
      <w:pPr>
        <w:pStyle w:val="30"/>
        <w:jc w:val="center"/>
        <w:rPr>
          <w:rFonts w:ascii="仿宋" w:hAnsi="仿宋" w:eastAsia="仿宋" w:cs="仿宋"/>
          <w:color w:val="auto"/>
        </w:rPr>
      </w:pPr>
    </w:p>
    <w:p w14:paraId="69A3974F">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30"/>
        <w:rPr>
          <w:rFonts w:ascii="仿宋" w:hAnsi="仿宋" w:eastAsia="仿宋" w:cs="仿宋"/>
          <w:color w:val="auto"/>
        </w:rPr>
      </w:pPr>
      <w:r>
        <w:rPr>
          <w:rFonts w:hint="eastAsia" w:ascii="仿宋" w:hAnsi="仿宋" w:eastAsia="仿宋" w:cs="仿宋"/>
          <w:color w:val="auto"/>
        </w:rPr>
        <w:t>特此证明。</w:t>
      </w:r>
    </w:p>
    <w:p w14:paraId="002DE336">
      <w:pPr>
        <w:pStyle w:val="30"/>
        <w:jc w:val="both"/>
        <w:rPr>
          <w:rFonts w:ascii="仿宋" w:hAnsi="仿宋" w:eastAsia="仿宋" w:cs="仿宋"/>
          <w:color w:val="auto"/>
        </w:rPr>
      </w:pPr>
    </w:p>
    <w:p w14:paraId="06DEE143">
      <w:pPr>
        <w:pStyle w:val="30"/>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30"/>
        <w:jc w:val="center"/>
        <w:rPr>
          <w:rFonts w:ascii="仿宋" w:hAnsi="仿宋" w:eastAsia="仿宋" w:cs="仿宋"/>
          <w:color w:val="auto"/>
        </w:rPr>
      </w:pPr>
    </w:p>
    <w:p w14:paraId="7A754A20">
      <w:pPr>
        <w:pStyle w:val="30"/>
        <w:jc w:val="center"/>
        <w:rPr>
          <w:rFonts w:ascii="仿宋" w:hAnsi="仿宋" w:eastAsia="仿宋" w:cs="仿宋"/>
          <w:color w:val="auto"/>
        </w:rPr>
      </w:pPr>
    </w:p>
    <w:p w14:paraId="76527747">
      <w:pPr>
        <w:pStyle w:val="30"/>
        <w:rPr>
          <w:rFonts w:ascii="仿宋" w:hAnsi="仿宋" w:eastAsia="仿宋" w:cs="仿宋"/>
          <w:color w:val="auto"/>
        </w:rPr>
      </w:pPr>
      <w:r>
        <w:rPr>
          <w:rFonts w:hint="eastAsia" w:ascii="仿宋" w:hAnsi="仿宋" w:eastAsia="仿宋" w:cs="仿宋"/>
          <w:color w:val="auto"/>
        </w:rPr>
        <w:t>注：</w:t>
      </w:r>
    </w:p>
    <w:p w14:paraId="2A3B4B90">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30"/>
        <w:jc w:val="both"/>
        <w:rPr>
          <w:rFonts w:ascii="仿宋" w:hAnsi="仿宋" w:eastAsia="仿宋" w:cs="仿宋"/>
          <w:color w:val="auto"/>
          <w:sz w:val="32"/>
          <w:szCs w:val="32"/>
        </w:rPr>
      </w:pPr>
    </w:p>
    <w:p w14:paraId="62D0E138">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1CAD8DEC">
      <w:pPr>
        <w:pStyle w:val="30"/>
        <w:jc w:val="center"/>
        <w:rPr>
          <w:rFonts w:ascii="仿宋" w:hAnsi="仿宋" w:eastAsia="仿宋" w:cs="仿宋"/>
          <w:b/>
          <w:bCs/>
          <w:color w:val="auto"/>
        </w:rPr>
      </w:pPr>
    </w:p>
    <w:p w14:paraId="16D3A993">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30"/>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9"/>
          <w:rFonts w:ascii="仿宋" w:hAnsi="仿宋" w:cs="仿宋"/>
          <w:b/>
          <w:szCs w:val="32"/>
        </w:rPr>
      </w:pPr>
      <w:r>
        <w:rPr>
          <w:rFonts w:hint="eastAsia" w:ascii="仿宋" w:hAnsi="仿宋" w:cs="仿宋"/>
          <w:szCs w:val="32"/>
        </w:rPr>
        <w:br w:type="page"/>
      </w:r>
      <w:bookmarkStart w:id="65" w:name="_Toc2041"/>
      <w:bookmarkStart w:id="66" w:name="_Toc16435"/>
      <w:bookmarkStart w:id="67" w:name="_Toc12967"/>
      <w:bookmarkStart w:id="68" w:name="_Toc26969"/>
      <w:bookmarkStart w:id="69" w:name="_Toc23967"/>
      <w:bookmarkStart w:id="70" w:name="_Toc1074"/>
      <w:r>
        <w:rPr>
          <w:rStyle w:val="39"/>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6"/>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30"/>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9"/>
          <w:b/>
        </w:rPr>
      </w:pPr>
    </w:p>
    <w:p w14:paraId="08B340C7">
      <w:pPr>
        <w:pStyle w:val="3"/>
        <w:numPr>
          <w:ilvl w:val="0"/>
          <w:numId w:val="0"/>
        </w:numPr>
        <w:ind w:firstLine="3534" w:firstLineChars="1100"/>
        <w:jc w:val="both"/>
        <w:rPr>
          <w:rStyle w:val="39"/>
          <w:b/>
        </w:rPr>
      </w:pPr>
    </w:p>
    <w:p w14:paraId="1CDE992D">
      <w:pPr>
        <w:pStyle w:val="3"/>
        <w:numPr>
          <w:ilvl w:val="0"/>
          <w:numId w:val="0"/>
        </w:numPr>
        <w:ind w:firstLine="3534" w:firstLineChars="1100"/>
        <w:jc w:val="both"/>
        <w:rPr>
          <w:rStyle w:val="39"/>
          <w:b/>
        </w:rPr>
      </w:pPr>
    </w:p>
    <w:p w14:paraId="5ACE69AB">
      <w:pPr>
        <w:pStyle w:val="3"/>
        <w:numPr>
          <w:ilvl w:val="0"/>
          <w:numId w:val="0"/>
        </w:numPr>
        <w:ind w:firstLine="3534" w:firstLineChars="1100"/>
        <w:jc w:val="both"/>
        <w:rPr>
          <w:rStyle w:val="39"/>
          <w:b/>
        </w:rPr>
      </w:pPr>
    </w:p>
    <w:p w14:paraId="0B1D5700">
      <w:pPr>
        <w:pStyle w:val="3"/>
        <w:numPr>
          <w:ilvl w:val="0"/>
          <w:numId w:val="0"/>
        </w:numPr>
        <w:ind w:firstLine="3534" w:firstLineChars="1100"/>
        <w:jc w:val="both"/>
        <w:rPr>
          <w:rStyle w:val="39"/>
          <w:b/>
        </w:rPr>
      </w:pPr>
    </w:p>
    <w:p w14:paraId="5F4D14AE">
      <w:pPr>
        <w:pStyle w:val="3"/>
        <w:numPr>
          <w:ilvl w:val="0"/>
          <w:numId w:val="0"/>
        </w:numPr>
        <w:ind w:firstLine="3534" w:firstLineChars="1100"/>
        <w:jc w:val="both"/>
        <w:rPr>
          <w:rStyle w:val="39"/>
          <w:b/>
        </w:rPr>
      </w:pPr>
    </w:p>
    <w:p w14:paraId="75256484">
      <w:pPr>
        <w:pStyle w:val="3"/>
        <w:numPr>
          <w:ilvl w:val="0"/>
          <w:numId w:val="0"/>
        </w:numPr>
        <w:ind w:firstLine="3534" w:firstLineChars="1100"/>
        <w:jc w:val="both"/>
        <w:rPr>
          <w:rStyle w:val="39"/>
          <w:b/>
        </w:rPr>
      </w:pPr>
    </w:p>
    <w:p w14:paraId="7F950FD4">
      <w:pPr>
        <w:pStyle w:val="3"/>
        <w:numPr>
          <w:ilvl w:val="0"/>
          <w:numId w:val="0"/>
        </w:numPr>
        <w:ind w:firstLine="3534" w:firstLineChars="1100"/>
        <w:jc w:val="both"/>
        <w:rPr>
          <w:rStyle w:val="39"/>
          <w:b/>
        </w:rPr>
      </w:pPr>
    </w:p>
    <w:p w14:paraId="16459ADB">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6"/>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30"/>
        <w:jc w:val="center"/>
        <w:rPr>
          <w:rFonts w:ascii="仿宋" w:hAnsi="仿宋" w:eastAsia="仿宋" w:cs="仿宋"/>
          <w:color w:val="auto"/>
          <w:sz w:val="32"/>
          <w:szCs w:val="32"/>
        </w:rPr>
      </w:pPr>
    </w:p>
    <w:p w14:paraId="5FBF0838">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3871"/>
      <w:bookmarkStart w:id="73" w:name="_Toc24494"/>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EA365E8-D7B5-45E8-9BCD-EF38774B34F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E9E760E-0D4E-463F-9658-0AC726FB29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802EEF6B-A465-45B8-900B-7842F9C10C7B}"/>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58BC1547-B801-48D4-8F92-256E3F77D1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EF7C67"/>
    <w:rsid w:val="03F74790"/>
    <w:rsid w:val="041D546A"/>
    <w:rsid w:val="058C78B0"/>
    <w:rsid w:val="059B4E40"/>
    <w:rsid w:val="05E13064"/>
    <w:rsid w:val="06043A48"/>
    <w:rsid w:val="07275343"/>
    <w:rsid w:val="077B6851"/>
    <w:rsid w:val="078909F5"/>
    <w:rsid w:val="07BC273F"/>
    <w:rsid w:val="07CA7DEC"/>
    <w:rsid w:val="089808CE"/>
    <w:rsid w:val="093A3733"/>
    <w:rsid w:val="0955265E"/>
    <w:rsid w:val="0A30091D"/>
    <w:rsid w:val="0A5B6C7C"/>
    <w:rsid w:val="0AEF0DDC"/>
    <w:rsid w:val="0B223ED3"/>
    <w:rsid w:val="0B395F4B"/>
    <w:rsid w:val="0B4276FF"/>
    <w:rsid w:val="0B4508AE"/>
    <w:rsid w:val="0BF34D9F"/>
    <w:rsid w:val="0C375F99"/>
    <w:rsid w:val="0CD33899"/>
    <w:rsid w:val="0D9613D9"/>
    <w:rsid w:val="0E0B7FF0"/>
    <w:rsid w:val="0E19600D"/>
    <w:rsid w:val="0E3A6663"/>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64E15A7"/>
    <w:rsid w:val="17130116"/>
    <w:rsid w:val="17887E32"/>
    <w:rsid w:val="17F1147E"/>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4523BCF"/>
    <w:rsid w:val="250334A1"/>
    <w:rsid w:val="257858B7"/>
    <w:rsid w:val="25BD312B"/>
    <w:rsid w:val="262C2FF8"/>
    <w:rsid w:val="26614BE2"/>
    <w:rsid w:val="26A655F4"/>
    <w:rsid w:val="29502FD4"/>
    <w:rsid w:val="29A078DB"/>
    <w:rsid w:val="29C5318E"/>
    <w:rsid w:val="2A151926"/>
    <w:rsid w:val="2A3335F4"/>
    <w:rsid w:val="2AAD33E1"/>
    <w:rsid w:val="2AEF232A"/>
    <w:rsid w:val="2AF54989"/>
    <w:rsid w:val="2C673566"/>
    <w:rsid w:val="2C9A0A9E"/>
    <w:rsid w:val="2CC93AF1"/>
    <w:rsid w:val="2CE462F8"/>
    <w:rsid w:val="2DA70D65"/>
    <w:rsid w:val="2E8822E7"/>
    <w:rsid w:val="2F966F61"/>
    <w:rsid w:val="305F1EED"/>
    <w:rsid w:val="30EC595D"/>
    <w:rsid w:val="31F51A59"/>
    <w:rsid w:val="32724DD0"/>
    <w:rsid w:val="335331C4"/>
    <w:rsid w:val="33AD2BD0"/>
    <w:rsid w:val="33C24ADF"/>
    <w:rsid w:val="343706EB"/>
    <w:rsid w:val="34E8105C"/>
    <w:rsid w:val="351A08D0"/>
    <w:rsid w:val="357519FC"/>
    <w:rsid w:val="35A61797"/>
    <w:rsid w:val="35D74205"/>
    <w:rsid w:val="367D6EF4"/>
    <w:rsid w:val="37BF3B20"/>
    <w:rsid w:val="380B5401"/>
    <w:rsid w:val="38323B02"/>
    <w:rsid w:val="38AE5E8C"/>
    <w:rsid w:val="38E350E4"/>
    <w:rsid w:val="3A335BDD"/>
    <w:rsid w:val="3A34378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6924A56"/>
    <w:rsid w:val="4782487D"/>
    <w:rsid w:val="483002E2"/>
    <w:rsid w:val="48D62926"/>
    <w:rsid w:val="49344560"/>
    <w:rsid w:val="49495EC9"/>
    <w:rsid w:val="495751DE"/>
    <w:rsid w:val="4AB820A2"/>
    <w:rsid w:val="4B4F618D"/>
    <w:rsid w:val="4BAD0151"/>
    <w:rsid w:val="4C1C11EA"/>
    <w:rsid w:val="4C8F75A2"/>
    <w:rsid w:val="4CB701C3"/>
    <w:rsid w:val="4E036E8C"/>
    <w:rsid w:val="4E8C008E"/>
    <w:rsid w:val="4EE72FE2"/>
    <w:rsid w:val="4FD14828"/>
    <w:rsid w:val="506A72A7"/>
    <w:rsid w:val="50771A9C"/>
    <w:rsid w:val="526A21D7"/>
    <w:rsid w:val="52EC23F5"/>
    <w:rsid w:val="5350123C"/>
    <w:rsid w:val="53854CE8"/>
    <w:rsid w:val="53BF0A7B"/>
    <w:rsid w:val="5455382C"/>
    <w:rsid w:val="545E542E"/>
    <w:rsid w:val="566B5FD6"/>
    <w:rsid w:val="56A53892"/>
    <w:rsid w:val="5728175E"/>
    <w:rsid w:val="5734171E"/>
    <w:rsid w:val="57C512E5"/>
    <w:rsid w:val="581F6921"/>
    <w:rsid w:val="586B0701"/>
    <w:rsid w:val="58BD4DB3"/>
    <w:rsid w:val="59710D46"/>
    <w:rsid w:val="5B243E89"/>
    <w:rsid w:val="5B800F26"/>
    <w:rsid w:val="5C124930"/>
    <w:rsid w:val="5C4A7838"/>
    <w:rsid w:val="5EB9456E"/>
    <w:rsid w:val="5EFC3EB9"/>
    <w:rsid w:val="5F796A42"/>
    <w:rsid w:val="60605BAC"/>
    <w:rsid w:val="60C53B7A"/>
    <w:rsid w:val="60E308E3"/>
    <w:rsid w:val="60E73507"/>
    <w:rsid w:val="62330506"/>
    <w:rsid w:val="62C51434"/>
    <w:rsid w:val="632E2511"/>
    <w:rsid w:val="63553057"/>
    <w:rsid w:val="63A9427A"/>
    <w:rsid w:val="63AB062A"/>
    <w:rsid w:val="63D462B1"/>
    <w:rsid w:val="641A3596"/>
    <w:rsid w:val="647C6435"/>
    <w:rsid w:val="64CD45D0"/>
    <w:rsid w:val="652F0DE7"/>
    <w:rsid w:val="65771107"/>
    <w:rsid w:val="65E40ADA"/>
    <w:rsid w:val="66330B86"/>
    <w:rsid w:val="66A70F60"/>
    <w:rsid w:val="66E22203"/>
    <w:rsid w:val="67133952"/>
    <w:rsid w:val="67330CCC"/>
    <w:rsid w:val="67C95196"/>
    <w:rsid w:val="696E0130"/>
    <w:rsid w:val="69D50CF4"/>
    <w:rsid w:val="6AA97CAB"/>
    <w:rsid w:val="6AD401BA"/>
    <w:rsid w:val="6B910106"/>
    <w:rsid w:val="6C487AFD"/>
    <w:rsid w:val="6CB24363"/>
    <w:rsid w:val="6DA52693"/>
    <w:rsid w:val="6DE728CA"/>
    <w:rsid w:val="6E596897"/>
    <w:rsid w:val="6FA23F69"/>
    <w:rsid w:val="6FCF0795"/>
    <w:rsid w:val="6FDE37DB"/>
    <w:rsid w:val="70076B11"/>
    <w:rsid w:val="70480305"/>
    <w:rsid w:val="71646B2B"/>
    <w:rsid w:val="729B22F4"/>
    <w:rsid w:val="72D75444"/>
    <w:rsid w:val="73634FBB"/>
    <w:rsid w:val="741C016E"/>
    <w:rsid w:val="745F66ED"/>
    <w:rsid w:val="74964153"/>
    <w:rsid w:val="752F0ACE"/>
    <w:rsid w:val="75306550"/>
    <w:rsid w:val="75331EE9"/>
    <w:rsid w:val="754D1D92"/>
    <w:rsid w:val="75BD46DB"/>
    <w:rsid w:val="763D5ED6"/>
    <w:rsid w:val="76536663"/>
    <w:rsid w:val="77BC6EFE"/>
    <w:rsid w:val="77F474AF"/>
    <w:rsid w:val="78202D4E"/>
    <w:rsid w:val="78273E08"/>
    <w:rsid w:val="78E44CAE"/>
    <w:rsid w:val="79967A89"/>
    <w:rsid w:val="79EA7513"/>
    <w:rsid w:val="7B550DA5"/>
    <w:rsid w:val="7B5F74F8"/>
    <w:rsid w:val="7B690630"/>
    <w:rsid w:val="7BB6153E"/>
    <w:rsid w:val="7CE74C9B"/>
    <w:rsid w:val="7CF47CCC"/>
    <w:rsid w:val="7D025527"/>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6"/>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1"/>
    <w:qFormat/>
    <w:uiPriority w:val="0"/>
    <w:pPr>
      <w:spacing w:after="120" w:line="480" w:lineRule="auto"/>
      <w:ind w:left="420" w:leftChars="200"/>
    </w:pPr>
    <w:rPr>
      <w:szCs w:val="20"/>
    </w:rPr>
  </w:style>
  <w:style w:type="paragraph" w:styleId="10">
    <w:name w:val="Balloon Text"/>
    <w:basedOn w:val="1"/>
    <w:link w:val="38"/>
    <w:qFormat/>
    <w:uiPriority w:val="0"/>
    <w:rPr>
      <w:sz w:val="18"/>
      <w:szCs w:val="18"/>
    </w:rPr>
  </w:style>
  <w:style w:type="paragraph" w:styleId="11">
    <w:name w:val="footer"/>
    <w:basedOn w:val="1"/>
    <w:link w:val="43"/>
    <w:unhideWhenUsed/>
    <w:qFormat/>
    <w:uiPriority w:val="99"/>
    <w:pPr>
      <w:tabs>
        <w:tab w:val="center" w:pos="4153"/>
        <w:tab w:val="right" w:pos="8306"/>
      </w:tabs>
      <w:snapToGrid w:val="0"/>
      <w:jc w:val="left"/>
    </w:pPr>
    <w:rPr>
      <w:sz w:val="18"/>
      <w:szCs w:val="18"/>
    </w:rPr>
  </w:style>
  <w:style w:type="paragraph" w:styleId="12">
    <w:name w:val="header"/>
    <w:basedOn w:val="1"/>
    <w:next w:val="6"/>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annotation subject"/>
    <w:basedOn w:val="5"/>
    <w:next w:val="5"/>
    <w:link w:val="37"/>
    <w:qFormat/>
    <w:uiPriority w:val="0"/>
    <w:rPr>
      <w:b/>
      <w:bCs/>
    </w:rPr>
  </w:style>
  <w:style w:type="paragraph" w:styleId="16">
    <w:name w:val="Body Text First Indent"/>
    <w:basedOn w:val="6"/>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7"/>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9"/>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5"/>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0"/>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1"/>
    <w:qFormat/>
    <w:uiPriority w:val="99"/>
    <w:rPr>
      <w:rFonts w:asciiTheme="minorHAnsi" w:hAnsiTheme="minorHAnsi" w:eastAsiaTheme="minorEastAsia" w:cstheme="minorBidi"/>
      <w:kern w:val="2"/>
      <w:sz w:val="18"/>
      <w:szCs w:val="18"/>
    </w:rPr>
  </w:style>
  <w:style w:type="character" w:customStyle="1" w:styleId="44">
    <w:name w:val="页眉 字符"/>
    <w:basedOn w:val="20"/>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1335</Words>
  <Characters>1415</Characters>
  <Lines>68</Lines>
  <Paragraphs>19</Paragraphs>
  <TotalTime>0</TotalTime>
  <ScaleCrop>false</ScaleCrop>
  <LinksUpToDate>false</LinksUpToDate>
  <CharactersWithSpaces>1505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2026-03-30T00:34:29Z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1EA193AD58064074A622D1F62C9BD261_13</vt:lpwstr>
  </property>
  <property fmtid="{D5CDD505-2E9C-101B-9397-08002B2CF9AE}" pid="4" name="KSOTemplateDocerSaveRecord">
    <vt:lpwstr>eyJoZGlkIjoiZDU1MTNmZmUyODIzN2MxNDgwNzc5NDI0N2ZkNjJhM2IiLCJ1c2VySWQiOiIzMTQ2NjUyOTIifQ==</vt:lpwstr>
  </property>
</Properties>
</file>