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AE860">
      <w:pPr>
        <w:spacing w:line="360" w:lineRule="auto"/>
        <w:jc w:val="both"/>
        <w:rPr>
          <w:rFonts w:hint="eastAsia" w:ascii="仿宋" w:hAnsi="仿宋" w:eastAsia="仿宋" w:cs="黑体"/>
          <w:b/>
          <w:spacing w:val="24"/>
          <w:sz w:val="52"/>
          <w:szCs w:val="52"/>
        </w:rPr>
      </w:pPr>
    </w:p>
    <w:p w14:paraId="6273975D">
      <w:pPr>
        <w:spacing w:line="360" w:lineRule="auto"/>
        <w:ind w:firstLine="570" w:firstLineChars="100"/>
        <w:jc w:val="center"/>
        <w:rPr>
          <w:rFonts w:ascii="仿宋" w:hAnsi="仿宋" w:eastAsia="仿宋" w:cs="黑体"/>
          <w:b/>
          <w:spacing w:val="24"/>
          <w:sz w:val="52"/>
          <w:szCs w:val="52"/>
        </w:rPr>
      </w:pPr>
      <w:r>
        <w:rPr>
          <w:rFonts w:hint="eastAsia" w:ascii="仿宋" w:hAnsi="仿宋" w:eastAsia="仿宋" w:cs="黑体"/>
          <w:b/>
          <w:spacing w:val="24"/>
          <w:sz w:val="52"/>
          <w:szCs w:val="52"/>
        </w:rPr>
        <w:t>绵阳市中心医院</w:t>
      </w:r>
    </w:p>
    <w:p w14:paraId="50767810">
      <w:pPr>
        <w:spacing w:before="1109" w:beforeLines="350" w:after="1109" w:afterLines="350" w:line="800" w:lineRule="exact"/>
        <w:jc w:val="center"/>
        <w:rPr>
          <w:rFonts w:hint="eastAsia" w:ascii="宋体" w:hAnsi="宋体"/>
          <w:b/>
          <w:color w:val="FF0000"/>
          <w:spacing w:val="-30"/>
          <w:sz w:val="120"/>
          <w:szCs w:val="120"/>
        </w:rPr>
      </w:pPr>
      <w:r>
        <w:rPr>
          <w:rFonts w:hint="eastAsia" w:ascii="宋体" w:hAnsi="宋体"/>
          <w:b/>
          <w:color w:val="FF0000"/>
          <w:spacing w:val="-30"/>
          <w:sz w:val="120"/>
          <w:szCs w:val="120"/>
        </w:rPr>
        <w:t>竞争性</w:t>
      </w:r>
      <w:r>
        <w:rPr>
          <w:rFonts w:hint="eastAsia" w:ascii="宋体" w:hAnsi="宋体"/>
          <w:b/>
          <w:color w:val="FF0000"/>
          <w:spacing w:val="-30"/>
          <w:sz w:val="120"/>
          <w:szCs w:val="120"/>
          <w:lang w:val="en-US" w:eastAsia="zh-CN"/>
        </w:rPr>
        <w:t>谈判</w:t>
      </w:r>
      <w:r>
        <w:rPr>
          <w:rFonts w:hint="eastAsia" w:ascii="宋体" w:hAnsi="宋体"/>
          <w:b/>
          <w:color w:val="FF0000"/>
          <w:spacing w:val="-30"/>
          <w:sz w:val="120"/>
          <w:szCs w:val="120"/>
        </w:rPr>
        <w:t>文件</w:t>
      </w:r>
    </w:p>
    <w:p w14:paraId="17278E36">
      <w:pPr>
        <w:spacing w:before="1109" w:beforeLines="350" w:after="1109" w:afterLines="350" w:line="800" w:lineRule="exact"/>
        <w:jc w:val="center"/>
        <w:rPr>
          <w:rFonts w:hint="eastAsia" w:ascii="宋体" w:hAnsi="宋体"/>
          <w:b/>
          <w:color w:val="FF0000"/>
          <w:spacing w:val="-30"/>
          <w:sz w:val="120"/>
          <w:szCs w:val="120"/>
        </w:rPr>
      </w:pPr>
    </w:p>
    <w:p w14:paraId="1BD03E4E">
      <w:pPr>
        <w:ind w:firstLine="723" w:firstLineChars="200"/>
        <w:rPr>
          <w:rFonts w:hint="eastAsia" w:ascii="宋体" w:hAnsi="宋体"/>
          <w:b/>
          <w:color w:val="000000"/>
          <w:sz w:val="36"/>
          <w:szCs w:val="36"/>
          <w:lang w:val="en-US" w:eastAsia="zh-CN"/>
        </w:rPr>
      </w:pPr>
      <w:r>
        <w:rPr>
          <w:rFonts w:hint="eastAsia" w:ascii="宋体" w:hAnsi="宋体"/>
          <w:b/>
          <w:color w:val="000000"/>
          <w:sz w:val="36"/>
        </w:rPr>
        <w:t>项目编号：</w:t>
      </w:r>
      <w:r>
        <w:rPr>
          <w:rFonts w:hint="eastAsia" w:ascii="宋体" w:hAnsi="宋体"/>
          <w:b/>
          <w:color w:val="000000"/>
          <w:sz w:val="32"/>
          <w:szCs w:val="32"/>
        </w:rPr>
        <w:t xml:space="preserve"> </w:t>
      </w:r>
      <w:r>
        <w:rPr>
          <w:rFonts w:hint="eastAsia" w:ascii="宋体" w:hAnsi="宋体"/>
          <w:b/>
          <w:color w:val="000000"/>
          <w:sz w:val="36"/>
          <w:szCs w:val="36"/>
        </w:rPr>
        <w:t>MYCH竞谈（202</w:t>
      </w:r>
      <w:r>
        <w:rPr>
          <w:rFonts w:hint="eastAsia" w:ascii="宋体" w:hAnsi="宋体"/>
          <w:b/>
          <w:color w:val="000000"/>
          <w:sz w:val="36"/>
          <w:szCs w:val="36"/>
          <w:lang w:val="en-US" w:eastAsia="zh-CN"/>
        </w:rPr>
        <w:t>6</w:t>
      </w:r>
      <w:r>
        <w:rPr>
          <w:rFonts w:hint="eastAsia" w:ascii="宋体" w:hAnsi="宋体"/>
          <w:b/>
          <w:color w:val="000000"/>
          <w:sz w:val="36"/>
          <w:szCs w:val="36"/>
        </w:rPr>
        <w:t>）00</w:t>
      </w:r>
      <w:r>
        <w:rPr>
          <w:rFonts w:hint="eastAsia" w:ascii="宋体" w:hAnsi="宋体"/>
          <w:b/>
          <w:color w:val="000000"/>
          <w:sz w:val="36"/>
          <w:szCs w:val="36"/>
          <w:lang w:val="en-US" w:eastAsia="zh-CN"/>
        </w:rPr>
        <w:t>2号</w:t>
      </w:r>
    </w:p>
    <w:p w14:paraId="43E3320A">
      <w:pPr>
        <w:ind w:left="420" w:firstLine="420"/>
        <w:rPr>
          <w:rFonts w:ascii="宋体" w:hAnsi="宋体" w:cs="Times New Roman"/>
          <w:color w:val="000000"/>
          <w:sz w:val="36"/>
          <w:szCs w:val="32"/>
        </w:rPr>
      </w:pPr>
    </w:p>
    <w:p w14:paraId="0A046781">
      <w:pPr>
        <w:ind w:firstLine="723" w:firstLineChars="200"/>
        <w:rPr>
          <w:rFonts w:hint="eastAsia" w:ascii="宋体" w:hAnsi="宋体"/>
          <w:b/>
          <w:color w:val="000000"/>
          <w:sz w:val="36"/>
          <w:szCs w:val="36"/>
          <w:lang w:val="en-US" w:eastAsia="zh-CN"/>
        </w:rPr>
      </w:pPr>
      <w:r>
        <w:rPr>
          <w:rFonts w:hint="eastAsia" w:ascii="宋体" w:hAnsi="宋体"/>
          <w:b/>
          <w:color w:val="000000"/>
          <w:sz w:val="36"/>
        </w:rPr>
        <w:t>项目名称：</w:t>
      </w:r>
      <w:bookmarkStart w:id="0" w:name="【Bobole_项目名称_1】"/>
      <w:r>
        <w:rPr>
          <w:rFonts w:hint="eastAsia" w:ascii="宋体" w:hAnsi="宋体"/>
          <w:b/>
          <w:color w:val="000000"/>
          <w:sz w:val="36"/>
          <w:szCs w:val="36"/>
          <w:lang w:val="en-US" w:eastAsia="zh-CN"/>
        </w:rPr>
        <w:t>SPSS 专业软件技术服务</w:t>
      </w:r>
    </w:p>
    <w:p w14:paraId="70ED7DE8">
      <w:pPr>
        <w:rPr>
          <w:rFonts w:ascii="宋体" w:hAnsi="宋体"/>
          <w:b/>
          <w:bCs/>
          <w:color w:val="000000"/>
          <w:sz w:val="36"/>
          <w:szCs w:val="36"/>
          <w:u w:val="single"/>
        </w:rPr>
      </w:pPr>
    </w:p>
    <w:p w14:paraId="226C1191">
      <w:pPr>
        <w:ind w:left="2647" w:leftChars="400" w:hanging="1807" w:hangingChars="500"/>
        <w:rPr>
          <w:rFonts w:ascii="宋体" w:hAnsi="宋体"/>
          <w:b/>
          <w:bCs/>
          <w:color w:val="000000"/>
          <w:sz w:val="36"/>
          <w:szCs w:val="36"/>
          <w:u w:val="single"/>
        </w:rPr>
      </w:pPr>
    </w:p>
    <w:p w14:paraId="0A55B6C0">
      <w:pPr>
        <w:ind w:left="2647" w:leftChars="400" w:hanging="1807" w:hangingChars="500"/>
        <w:rPr>
          <w:rFonts w:ascii="宋体" w:hAnsi="宋体"/>
          <w:b/>
          <w:bCs/>
          <w:color w:val="000000"/>
          <w:sz w:val="36"/>
          <w:szCs w:val="36"/>
          <w:u w:val="single"/>
        </w:rPr>
      </w:pPr>
    </w:p>
    <w:bookmarkEnd w:id="0"/>
    <w:p w14:paraId="40C6F6ED">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7C45A3DE">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3</w:t>
      </w:r>
      <w:r>
        <w:rPr>
          <w:rFonts w:hint="eastAsia" w:ascii="宋体" w:hAnsi="宋体"/>
          <w:color w:val="000000"/>
          <w:sz w:val="36"/>
        </w:rPr>
        <w:t>月</w:t>
      </w:r>
      <w:bookmarkEnd w:id="1"/>
    </w:p>
    <w:p w14:paraId="4FEA1333">
      <w:pPr>
        <w:spacing w:line="440" w:lineRule="exact"/>
        <w:jc w:val="center"/>
        <w:rPr>
          <w:rFonts w:ascii="黑体" w:hAnsi="黑体" w:eastAsia="黑体" w:cs="黑体"/>
          <w:b/>
          <w:sz w:val="36"/>
          <w:szCs w:val="36"/>
          <w:lang w:val="zh-CN"/>
        </w:rPr>
        <w:sectPr>
          <w:headerReference r:id="rId5" w:type="first"/>
          <w:footerReference r:id="rId8" w:type="first"/>
          <w:headerReference r:id="rId3" w:type="default"/>
          <w:footerReference r:id="rId6" w:type="default"/>
          <w:headerReference r:id="rId4" w:type="even"/>
          <w:footerReference r:id="rId7" w:type="even"/>
          <w:pgSz w:w="11905" w:h="16838"/>
          <w:pgMar w:top="1440" w:right="1803" w:bottom="1440" w:left="1803" w:header="850" w:footer="992" w:gutter="0"/>
          <w:cols w:space="0" w:num="1"/>
          <w:docGrid w:type="lines" w:linePitch="317" w:charSpace="0"/>
        </w:sectPr>
      </w:pPr>
    </w:p>
    <w:p w14:paraId="31673139">
      <w:pPr>
        <w:pStyle w:val="15"/>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19389B3B">
      <w:pPr>
        <w:pStyle w:val="15"/>
        <w:tabs>
          <w:tab w:val="left" w:pos="6160"/>
        </w:tabs>
        <w:rPr>
          <w:rFonts w:ascii="仿宋" w:hAnsi="仿宋" w:eastAsia="仿宋" w:cs="仿宋"/>
          <w:sz w:val="28"/>
          <w:szCs w:val="32"/>
        </w:rPr>
      </w:pPr>
      <w:r>
        <w:rPr>
          <w:rFonts w:hint="eastAsia" w:ascii="仿宋" w:hAnsi="仿宋" w:eastAsia="仿宋" w:cs="仿宋"/>
          <w:sz w:val="28"/>
          <w:szCs w:val="32"/>
        </w:rPr>
        <w:tab/>
      </w:r>
    </w:p>
    <w:p w14:paraId="21A2B37E">
      <w:pPr>
        <w:pStyle w:val="15"/>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谈判邀请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3977EA19">
      <w:pPr>
        <w:pStyle w:val="15"/>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6DC34C6">
      <w:pPr>
        <w:pStyle w:val="15"/>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供应商资格审查及符合性审查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_Toc5431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1BE645D">
      <w:pPr>
        <w:pStyle w:val="15"/>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_Toc12193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0</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4C94CEEF">
      <w:pPr>
        <w:pStyle w:val="15"/>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_Toc16344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77066E00">
      <w:pPr>
        <w:pStyle w:val="15"/>
        <w:tabs>
          <w:tab w:val="right" w:leader="dot" w:pos="8299"/>
        </w:tabs>
        <w:rPr>
          <w:rFonts w:ascii="仿宋" w:hAnsi="仿宋" w:eastAsia="仿宋" w:cs="仿宋"/>
          <w:sz w:val="28"/>
          <w:szCs w:val="28"/>
        </w:rPr>
      </w:pPr>
    </w:p>
    <w:p w14:paraId="3DBCA98C">
      <w:pPr>
        <w:pStyle w:val="14"/>
        <w:outlineLvl w:val="0"/>
        <w:sectPr>
          <w:headerReference r:id="rId9" w:type="default"/>
          <w:footerReference r:id="rId10"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2" w:name="_Toc15901"/>
    </w:p>
    <w:p w14:paraId="652F6158">
      <w:pPr>
        <w:pStyle w:val="14"/>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谈判邀请</w:t>
      </w:r>
      <w:bookmarkEnd w:id="2"/>
    </w:p>
    <w:tbl>
      <w:tblPr>
        <w:tblStyle w:val="19"/>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440884C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27EB16E">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6301025C">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422A7F01">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7605173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2D25AD16">
            <w:pPr>
              <w:pStyle w:val="27"/>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0C09AC74">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70AC1B2A">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789696A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2DF1C50">
            <w:pPr>
              <w:pStyle w:val="27"/>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02B93620">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57655FC1">
            <w:pPr>
              <w:spacing w:line="360" w:lineRule="auto"/>
              <w:ind w:left="210" w:leftChars="100"/>
              <w:jc w:val="center"/>
              <w:rPr>
                <w:rFonts w:ascii="仿宋" w:hAnsi="仿宋" w:eastAsia="仿宋" w:cs="仿宋"/>
                <w:sz w:val="22"/>
              </w:rPr>
            </w:pPr>
            <w:r>
              <w:rPr>
                <w:rFonts w:hint="eastAsia" w:ascii="仿宋" w:hAnsi="仿宋" w:eastAsia="仿宋" w:cs="仿宋"/>
                <w:sz w:val="22"/>
                <w:lang w:val="en-US" w:eastAsia="zh-CN"/>
              </w:rPr>
              <w:t>SPSS 专业软件技术服务</w:t>
            </w:r>
          </w:p>
        </w:tc>
      </w:tr>
      <w:tr w14:paraId="2E62C8E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7C7A26C8">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79D17F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1CCBC8E3">
            <w:pPr>
              <w:ind w:firstLine="2200" w:firstLineChars="1000"/>
              <w:jc w:val="both"/>
              <w:rPr>
                <w:rFonts w:hint="default" w:ascii="仿宋" w:hAnsi="仿宋" w:eastAsia="仿宋" w:cs="仿宋"/>
                <w:sz w:val="22"/>
                <w:lang w:val="en-US" w:eastAsia="zh-CN"/>
              </w:rPr>
            </w:pPr>
            <w:r>
              <w:rPr>
                <w:rFonts w:hint="eastAsia" w:ascii="仿宋" w:hAnsi="仿宋" w:eastAsia="仿宋" w:cs="仿宋"/>
                <w:sz w:val="22"/>
              </w:rPr>
              <w:t>MYCH竞谈（202</w:t>
            </w:r>
            <w:r>
              <w:rPr>
                <w:rFonts w:hint="eastAsia" w:ascii="仿宋" w:hAnsi="仿宋" w:eastAsia="仿宋" w:cs="仿宋"/>
                <w:sz w:val="22"/>
                <w:lang w:val="en-US" w:eastAsia="zh-CN"/>
              </w:rPr>
              <w:t>6</w:t>
            </w:r>
            <w:r>
              <w:rPr>
                <w:rFonts w:hint="eastAsia" w:ascii="仿宋" w:hAnsi="仿宋" w:eastAsia="仿宋" w:cs="仿宋"/>
                <w:sz w:val="22"/>
              </w:rPr>
              <w:t>）00</w:t>
            </w:r>
            <w:r>
              <w:rPr>
                <w:rFonts w:hint="eastAsia" w:ascii="仿宋" w:hAnsi="仿宋" w:eastAsia="仿宋" w:cs="仿宋"/>
                <w:sz w:val="22"/>
                <w:lang w:val="en-US" w:eastAsia="zh-CN"/>
              </w:rPr>
              <w:t>2号</w:t>
            </w:r>
          </w:p>
        </w:tc>
      </w:tr>
      <w:tr w14:paraId="2C192CA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2" w:hRule="atLeast"/>
        </w:trPr>
        <w:tc>
          <w:tcPr>
            <w:tcW w:w="524" w:type="dxa"/>
            <w:vAlign w:val="center"/>
          </w:tcPr>
          <w:p w14:paraId="22ADB973">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01250E7">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10133893">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1712205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0FD1C2EA">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95488">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6F4451E">
            <w:pPr>
              <w:spacing w:line="360" w:lineRule="auto"/>
              <w:ind w:left="210" w:leftChars="100"/>
              <w:rPr>
                <w:rFonts w:ascii="仿宋" w:hAnsi="仿宋" w:eastAsia="仿宋" w:cs="仿宋"/>
                <w:sz w:val="22"/>
              </w:rPr>
            </w:pPr>
            <w:r>
              <w:rPr>
                <w:rFonts w:hint="eastAsia" w:ascii="仿宋" w:hAnsi="仿宋" w:eastAsia="仿宋" w:cs="仿宋"/>
                <w:sz w:val="22"/>
              </w:rPr>
              <w:t>限价：</w:t>
            </w:r>
            <w:r>
              <w:rPr>
                <w:rFonts w:hint="eastAsia" w:ascii="仿宋" w:hAnsi="仿宋" w:eastAsia="仿宋" w:cs="仿宋"/>
                <w:sz w:val="22"/>
                <w:lang w:val="en-US" w:eastAsia="zh-CN"/>
              </w:rPr>
              <w:t>28.65万</w:t>
            </w:r>
            <w:r>
              <w:rPr>
                <w:rFonts w:hint="eastAsia" w:ascii="仿宋" w:hAnsi="仿宋" w:eastAsia="仿宋" w:cs="仿宋"/>
                <w:sz w:val="22"/>
              </w:rPr>
              <w:t>元（超过最高限价的报价，其响应文件作无效处理）</w:t>
            </w:r>
          </w:p>
        </w:tc>
      </w:tr>
      <w:tr w14:paraId="4AA3B0D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79F8C738">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4BD0D3D">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580225C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5919493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非公开方式：通过书面推荐意见，推荐符合相应资格条件的供应商参与本次采购活动。</w:t>
            </w:r>
          </w:p>
        </w:tc>
      </w:tr>
      <w:tr w14:paraId="62E399A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0CCF2DBF">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4B63964">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0A2BCA20">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07E1776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5FD9270F">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3F998F2">
            <w:pPr>
              <w:pStyle w:val="29"/>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65114831">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17D1828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25582927">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66EC3F14">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2E845CC9">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588A117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6E01EAF2">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5C1D5390">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7AB34379">
            <w:pPr>
              <w:pStyle w:val="10"/>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5496CFCA">
            <w:pPr>
              <w:pStyle w:val="10"/>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27951176">
            <w:pPr>
              <w:pStyle w:val="10"/>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7AC77CD1">
            <w:pPr>
              <w:pStyle w:val="10"/>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526A65A0">
            <w:pPr>
              <w:pStyle w:val="10"/>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706DE0DD">
            <w:pPr>
              <w:pStyle w:val="10"/>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54071B66">
            <w:pPr>
              <w:pStyle w:val="10"/>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0AC8667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667D5239">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03D0AED">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FC2BE3B">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3F0518DC">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1.</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交款金额：/</w:t>
            </w:r>
          </w:p>
          <w:p w14:paraId="6AA2CD33">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2.</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交款方式：投标保证金以非现金形式提交。（包括网银转账，电汇等方式）</w:t>
            </w:r>
          </w:p>
          <w:p w14:paraId="5E421CB4">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 xml:space="preserve"> (1)</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收款单位：/</w:t>
            </w:r>
          </w:p>
          <w:p w14:paraId="49E24EAE">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(2)</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开户行：/</w:t>
            </w:r>
          </w:p>
          <w:p w14:paraId="0D67D49F">
            <w:pPr>
              <w:spacing w:line="360" w:lineRule="auto"/>
              <w:ind w:left="210" w:leftChars="100"/>
              <w:rPr>
                <w:rFonts w:hint="default"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(3)</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银行账号：/</w:t>
            </w:r>
          </w:p>
          <w:p w14:paraId="30674CF7">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3.</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交款时间：开标截止时间前</w:t>
            </w:r>
          </w:p>
          <w:p w14:paraId="66AC4F37">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4.</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退还时间及方式：未中标供应商在评标结束后7个工作日内无息退还。成交供应商在签订合同后7个工作日无息退还。</w:t>
            </w:r>
          </w:p>
          <w:p w14:paraId="1F58B79B">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5.</w:t>
            </w:r>
            <w:r>
              <w:rPr>
                <w:rFonts w:hint="eastAsia" w:ascii="仿宋" w:hAnsi="仿宋" w:eastAsia="仿宋" w:cs="仿宋"/>
                <w:kern w:val="0"/>
                <w:sz w:val="22"/>
                <w:szCs w:val="22"/>
                <w:lang w:val="en-US" w:eastAsia="zh-CN" w:bidi="ar-SA"/>
              </w:rPr>
              <w:tab/>
            </w:r>
            <w:r>
              <w:rPr>
                <w:rFonts w:hint="eastAsia" w:ascii="仿宋" w:hAnsi="仿宋" w:eastAsia="仿宋" w:cs="仿宋"/>
                <w:kern w:val="0"/>
                <w:sz w:val="22"/>
                <w:szCs w:val="22"/>
                <w:lang w:val="en-US" w:eastAsia="zh-CN" w:bidi="ar-SA"/>
              </w:rPr>
              <w:t>投标保证金不予退还情形：</w:t>
            </w:r>
          </w:p>
          <w:p w14:paraId="7D5E0C82">
            <w:pPr>
              <w:spacing w:line="360" w:lineRule="auto"/>
              <w:ind w:firstLine="220" w:firstLine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（1）供应商在提交响应文件截止时间后撤回响应文件的;</w:t>
            </w:r>
          </w:p>
          <w:p w14:paraId="49213BEE">
            <w:pPr>
              <w:spacing w:line="360" w:lineRule="auto"/>
              <w:ind w:firstLine="220" w:firstLine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（2）供应商在响应文件中提供虚假材料的;</w:t>
            </w:r>
          </w:p>
          <w:p w14:paraId="7F6D32DF">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（3）除因不可抗力或谈判文件认可的情形以外，成交供应商不与采购人签订合同的;</w:t>
            </w:r>
          </w:p>
          <w:p w14:paraId="463CBB9E">
            <w:pPr>
              <w:spacing w:line="360" w:lineRule="auto"/>
              <w:ind w:left="210" w:leftChars="100"/>
              <w:rPr>
                <w:rFonts w:hint="eastAsia" w:ascii="仿宋" w:hAnsi="仿宋" w:eastAsia="仿宋" w:cs="仿宋"/>
                <w:kern w:val="0"/>
                <w:sz w:val="22"/>
                <w:szCs w:val="22"/>
                <w:lang w:val="en-US" w:eastAsia="zh-CN" w:bidi="ar-SA"/>
              </w:rPr>
            </w:pPr>
            <w:r>
              <w:rPr>
                <w:rFonts w:hint="eastAsia" w:ascii="仿宋" w:hAnsi="仿宋" w:eastAsia="仿宋" w:cs="仿宋"/>
                <w:kern w:val="0"/>
                <w:sz w:val="22"/>
                <w:szCs w:val="22"/>
                <w:lang w:val="en-US" w:eastAsia="zh-CN" w:bidi="ar-SA"/>
              </w:rPr>
              <w:t>（4）供应商与其他供应商串通投标的;</w:t>
            </w:r>
          </w:p>
          <w:p w14:paraId="70BAFB11">
            <w:pPr>
              <w:spacing w:line="360" w:lineRule="auto"/>
              <w:ind w:left="210" w:leftChars="100"/>
              <w:rPr>
                <w:rFonts w:ascii="仿宋" w:hAnsi="仿宋" w:eastAsia="仿宋" w:cs="仿宋"/>
                <w:sz w:val="24"/>
                <w:szCs w:val="24"/>
              </w:rPr>
            </w:pPr>
            <w:r>
              <w:rPr>
                <w:rFonts w:hint="eastAsia" w:ascii="仿宋" w:hAnsi="仿宋" w:eastAsia="仿宋" w:cs="仿宋"/>
                <w:kern w:val="0"/>
                <w:sz w:val="22"/>
                <w:szCs w:val="22"/>
                <w:lang w:val="en-US" w:eastAsia="zh-CN" w:bidi="ar-SA"/>
              </w:rPr>
              <w:t>（5）供应商违反国家相关法律法规及政策的；</w:t>
            </w:r>
          </w:p>
        </w:tc>
      </w:tr>
      <w:tr w14:paraId="6D98ED1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E50D343">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1089E02">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06E3B821">
            <w:pPr>
              <w:pStyle w:val="28"/>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2B8B5B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4DAA0271">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49F9895E">
            <w:pPr>
              <w:pStyle w:val="28"/>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66E70AE2">
            <w:pPr>
              <w:pStyle w:val="28"/>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12C470E1">
            <w:pPr>
              <w:pStyle w:val="28"/>
              <w:numPr>
                <w:ilvl w:val="0"/>
                <w:numId w:val="6"/>
              </w:numPr>
              <w:tabs>
                <w:tab w:val="left" w:pos="220"/>
                <w:tab w:val="clear" w:pos="0"/>
              </w:tabs>
              <w:spacing w:line="360" w:lineRule="auto"/>
              <w:ind w:left="210" w:leftChars="100" w:firstLine="10"/>
              <w:jc w:val="both"/>
              <w:rPr>
                <w:rFonts w:hint="eastAsia"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lang w:val="en-US" w:eastAsia="zh-CN"/>
              </w:rPr>
              <w:t>/</w:t>
            </w:r>
          </w:p>
          <w:p w14:paraId="5EB7B83C">
            <w:pPr>
              <w:pStyle w:val="28"/>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68F05302">
            <w:pPr>
              <w:pStyle w:val="28"/>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lang w:val="en-US" w:eastAsia="zh-CN"/>
              </w:rPr>
              <w:t>/</w:t>
            </w:r>
          </w:p>
          <w:p w14:paraId="03E0E9E1">
            <w:pPr>
              <w:pStyle w:val="28"/>
              <w:numPr>
                <w:ilvl w:val="0"/>
                <w:numId w:val="7"/>
              </w:numPr>
              <w:tabs>
                <w:tab w:val="left" w:pos="220"/>
              </w:tabs>
              <w:spacing w:line="360" w:lineRule="auto"/>
              <w:ind w:hanging="205"/>
              <w:jc w:val="both"/>
              <w:rPr>
                <w:rFonts w:hint="eastAsia" w:ascii="仿宋" w:hAnsi="仿宋" w:eastAsia="仿宋" w:cs="仿宋"/>
                <w:sz w:val="22"/>
                <w:szCs w:val="22"/>
                <w:lang w:val="zh-CN" w:eastAsia="zh-CN"/>
              </w:rPr>
            </w:pPr>
            <w:r>
              <w:rPr>
                <w:rFonts w:hint="eastAsia" w:ascii="仿宋" w:hAnsi="仿宋" w:eastAsia="仿宋" w:cs="仿宋"/>
                <w:sz w:val="22"/>
                <w:szCs w:val="22"/>
                <w:lang w:val="zh-CN"/>
              </w:rPr>
              <w:t>开户行：</w:t>
            </w:r>
            <w:r>
              <w:rPr>
                <w:rFonts w:hint="eastAsia" w:ascii="仿宋" w:hAnsi="仿宋" w:eastAsia="仿宋" w:cs="仿宋"/>
                <w:sz w:val="22"/>
                <w:szCs w:val="22"/>
                <w:lang w:val="en-US" w:eastAsia="zh-CN"/>
              </w:rPr>
              <w:t>/</w:t>
            </w:r>
          </w:p>
          <w:p w14:paraId="4E35F33A">
            <w:pPr>
              <w:pStyle w:val="28"/>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lang w:val="en-US" w:eastAsia="zh-CN"/>
              </w:rPr>
              <w:t>/</w:t>
            </w:r>
          </w:p>
          <w:p w14:paraId="6517EE17">
            <w:pPr>
              <w:pStyle w:val="28"/>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52BA9086">
            <w:pPr>
              <w:pStyle w:val="28"/>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773F2294">
            <w:pPr>
              <w:pStyle w:val="28"/>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4FF25BF6">
            <w:pPr>
              <w:pStyle w:val="28"/>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2F9225D0">
            <w:pPr>
              <w:pStyle w:val="28"/>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5CEB4C3C">
            <w:pPr>
              <w:pStyle w:val="28"/>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6D4453F6">
            <w:pPr>
              <w:pStyle w:val="28"/>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4FBE26E5">
            <w:pPr>
              <w:pStyle w:val="28"/>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BDE26E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345AA518">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8563BD7">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30D1907D">
            <w:pPr>
              <w:spacing w:line="360" w:lineRule="auto"/>
              <w:ind w:left="210" w:leftChars="100"/>
              <w:rPr>
                <w:rFonts w:ascii="仿宋" w:hAnsi="仿宋" w:eastAsia="仿宋" w:cs="仿宋"/>
                <w:sz w:val="22"/>
              </w:rPr>
            </w:pPr>
            <w:r>
              <w:rPr>
                <w:rFonts w:hint="eastAsia" w:ascii="仿宋" w:hAnsi="仿宋" w:eastAsia="仿宋" w:cs="仿宋"/>
                <w:b/>
                <w:bCs/>
                <w:sz w:val="22"/>
              </w:rPr>
              <w:t>最低价法：</w:t>
            </w:r>
          </w:p>
          <w:p w14:paraId="5811C0B3">
            <w:pPr>
              <w:spacing w:line="360" w:lineRule="auto"/>
              <w:ind w:left="210" w:leftChars="100"/>
              <w:rPr>
                <w:rFonts w:ascii="仿宋" w:hAnsi="仿宋" w:eastAsia="仿宋" w:cs="仿宋"/>
                <w:kern w:val="0"/>
                <w:sz w:val="22"/>
                <w:lang w:val="zh-CN"/>
              </w:rPr>
            </w:pPr>
            <w:r>
              <w:rPr>
                <w:rFonts w:hint="eastAsia" w:ascii="仿宋" w:hAnsi="仿宋" w:eastAsia="仿宋" w:cs="仿宋"/>
                <w:sz w:val="22"/>
              </w:rPr>
              <w:t>通过资格、符合性审查且所有技术参数要求和商务要求均符合要求的供应商，评审小组按照有效报价进行评审，</w:t>
            </w:r>
            <w:r>
              <w:rPr>
                <w:rFonts w:hint="eastAsia" w:ascii="仿宋" w:hAnsi="仿宋" w:eastAsia="仿宋" w:cs="仿宋"/>
                <w:bCs/>
                <w:sz w:val="22"/>
              </w:rPr>
              <w:t>有效报价最低</w:t>
            </w:r>
            <w:r>
              <w:rPr>
                <w:rFonts w:hint="eastAsia" w:ascii="仿宋" w:hAnsi="仿宋" w:eastAsia="仿宋" w:cs="仿宋"/>
                <w:sz w:val="22"/>
              </w:rPr>
              <w:t>的供应商为成交供应商。</w:t>
            </w:r>
            <w:r>
              <w:rPr>
                <w:rFonts w:hint="eastAsia" w:ascii="仿宋" w:hAnsi="仿宋" w:eastAsia="仿宋" w:cs="仿宋"/>
                <w:kern w:val="0"/>
                <w:sz w:val="22"/>
                <w:lang w:val="zh-CN"/>
              </w:rPr>
              <w:t>若报价相同</w:t>
            </w:r>
            <w:r>
              <w:rPr>
                <w:rFonts w:hint="eastAsia" w:ascii="仿宋" w:hAnsi="仿宋" w:eastAsia="仿宋" w:cs="仿宋"/>
                <w:kern w:val="0"/>
                <w:sz w:val="22"/>
              </w:rPr>
              <w:t>且</w:t>
            </w:r>
            <w:r>
              <w:rPr>
                <w:rFonts w:hint="eastAsia" w:ascii="仿宋" w:hAnsi="仿宋" w:eastAsia="仿宋" w:cs="仿宋"/>
                <w:kern w:val="0"/>
                <w:sz w:val="22"/>
                <w:lang w:val="zh-CN"/>
              </w:rPr>
              <w:t>所有技术、服务及商务</w:t>
            </w:r>
            <w:r>
              <w:rPr>
                <w:rFonts w:hint="eastAsia" w:ascii="仿宋" w:hAnsi="仿宋" w:eastAsia="仿宋" w:cs="仿宋"/>
                <w:kern w:val="0"/>
                <w:sz w:val="22"/>
              </w:rPr>
              <w:t>要求响应情况均一致则</w:t>
            </w:r>
            <w:r>
              <w:rPr>
                <w:rFonts w:hint="eastAsia" w:ascii="仿宋" w:hAnsi="仿宋" w:eastAsia="仿宋" w:cs="仿宋"/>
                <w:kern w:val="0"/>
                <w:sz w:val="22"/>
                <w:lang w:val="zh-CN"/>
              </w:rPr>
              <w:t>采取随机抽取的方式确定</w:t>
            </w:r>
            <w:r>
              <w:rPr>
                <w:rFonts w:hint="eastAsia" w:ascii="仿宋" w:hAnsi="仿宋" w:eastAsia="仿宋" w:cs="仿宋"/>
                <w:kern w:val="0"/>
                <w:sz w:val="22"/>
              </w:rPr>
              <w:t>成交供应商</w:t>
            </w:r>
            <w:r>
              <w:rPr>
                <w:rFonts w:hint="eastAsia" w:ascii="仿宋" w:hAnsi="仿宋" w:eastAsia="仿宋" w:cs="仿宋"/>
                <w:kern w:val="0"/>
                <w:sz w:val="22"/>
                <w:lang w:val="zh-CN"/>
              </w:rPr>
              <w:t>。</w:t>
            </w:r>
          </w:p>
          <w:p w14:paraId="1DEAC5C1">
            <w:pPr>
              <w:spacing w:line="360" w:lineRule="auto"/>
              <w:ind w:left="210" w:leftChars="100"/>
              <w:rPr>
                <w:rFonts w:ascii="仿宋" w:hAnsi="仿宋" w:eastAsia="仿宋" w:cs="仿宋"/>
                <w:kern w:val="0"/>
                <w:sz w:val="22"/>
                <w:lang w:val="zh-CN"/>
              </w:rPr>
            </w:pPr>
          </w:p>
        </w:tc>
      </w:tr>
      <w:tr w14:paraId="65D76B1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1DC19CB5">
            <w:pPr>
              <w:pStyle w:val="27"/>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4841A33">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谈判文件</w:t>
            </w:r>
          </w:p>
          <w:p w14:paraId="220BA1A2">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5576FD25">
            <w:pPr>
              <w:pStyle w:val="28"/>
              <w:spacing w:line="360" w:lineRule="auto"/>
              <w:ind w:left="218" w:leftChars="104"/>
              <w:rPr>
                <w:rFonts w:hint="default" w:ascii="仿宋" w:hAnsi="仿宋" w:eastAsia="仿宋" w:cs="仿宋"/>
                <w:sz w:val="22"/>
                <w:szCs w:val="22"/>
                <w:lang w:val="en-US"/>
              </w:rPr>
            </w:pPr>
            <w:r>
              <w:rPr>
                <w:rFonts w:hint="eastAsia" w:ascii="仿宋" w:hAnsi="仿宋" w:eastAsia="仿宋" w:cs="仿宋"/>
                <w:sz w:val="22"/>
                <w:szCs w:val="22"/>
              </w:rPr>
              <w:t>采购公告公示网页附件下载</w:t>
            </w:r>
          </w:p>
        </w:tc>
      </w:tr>
      <w:tr w14:paraId="4C2861A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7416D7BD">
            <w:pPr>
              <w:pStyle w:val="27"/>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CA3F99F">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0474A4F3">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w:t>
            </w:r>
            <w:r>
              <w:rPr>
                <w:rFonts w:hint="eastAsia" w:ascii="仿宋" w:hAnsi="仿宋" w:eastAsia="仿宋" w:cs="仿宋"/>
                <w:sz w:val="22"/>
                <w:lang w:val="en-US" w:eastAsia="zh-CN"/>
              </w:rPr>
              <w:t>下</w:t>
            </w:r>
            <w:r>
              <w:rPr>
                <w:rFonts w:hint="eastAsia" w:ascii="仿宋" w:hAnsi="仿宋" w:eastAsia="仿宋" w:cs="仿宋"/>
                <w:sz w:val="22"/>
              </w:rPr>
              <w:t>提交：</w:t>
            </w:r>
          </w:p>
          <w:p w14:paraId="548B1E93">
            <w:pPr>
              <w:pStyle w:val="29"/>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2242490135@qq.com提交响应文件（另有通知要求的除外）。提交响应文件（盖鲜章）要求按顺序扫描成PDF文件发送到邮箱，邮件名为：项目名称+公司名称（公司全称），邮件正文内容为：公司名称、授权代表姓名、联系电话。不按照要求发送邮件将被拒绝报名。</w:t>
            </w:r>
          </w:p>
          <w:p w14:paraId="17979D8F">
            <w:pPr>
              <w:pStyle w:val="29"/>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26A600CB">
            <w:pPr>
              <w:pStyle w:val="28"/>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5EA5302A">
            <w:pPr>
              <w:pStyle w:val="28"/>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47C95211">
            <w:pPr>
              <w:pStyle w:val="28"/>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w:t>
            </w:r>
            <w:r>
              <w:rPr>
                <w:rFonts w:hint="eastAsia" w:ascii="仿宋" w:hAnsi="仿宋" w:eastAsia="仿宋" w:cs="仿宋"/>
                <w:sz w:val="22"/>
                <w:szCs w:val="22"/>
                <w:lang w:val="en-US" w:eastAsia="zh-CN"/>
              </w:rPr>
              <w:t>/</w:t>
            </w:r>
            <w:r>
              <w:rPr>
                <w:rFonts w:hint="eastAsia" w:ascii="仿宋" w:hAnsi="仿宋" w:eastAsia="仿宋" w:cs="仿宋"/>
                <w:sz w:val="22"/>
                <w:szCs w:val="22"/>
              </w:rPr>
              <w:t>份、副本</w:t>
            </w:r>
            <w:r>
              <w:rPr>
                <w:rFonts w:hint="eastAsia" w:ascii="仿宋" w:hAnsi="仿宋" w:eastAsia="仿宋" w:cs="仿宋"/>
                <w:sz w:val="22"/>
                <w:szCs w:val="22"/>
                <w:lang w:val="en-US" w:eastAsia="zh-CN"/>
              </w:rPr>
              <w:t>/</w:t>
            </w:r>
            <w:r>
              <w:rPr>
                <w:rFonts w:hint="eastAsia" w:ascii="仿宋" w:hAnsi="仿宋" w:eastAsia="仿宋" w:cs="仿宋"/>
                <w:sz w:val="22"/>
                <w:szCs w:val="22"/>
              </w:rPr>
              <w:t>份</w:t>
            </w:r>
          </w:p>
          <w:p w14:paraId="579F9EF1">
            <w:pPr>
              <w:pStyle w:val="28"/>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注：响应文件应在提交响应文件截止时间前提交；未按方式提交或逾期送达或没有密封的响应文件恕不接收</w:t>
            </w:r>
          </w:p>
        </w:tc>
      </w:tr>
      <w:tr w14:paraId="33F1F1D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42" w:hRule="atLeast"/>
        </w:trPr>
        <w:tc>
          <w:tcPr>
            <w:tcW w:w="524" w:type="dxa"/>
            <w:vAlign w:val="center"/>
          </w:tcPr>
          <w:p w14:paraId="4DCE7304">
            <w:pPr>
              <w:pStyle w:val="27"/>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2CFA9F31">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055717E1">
            <w:pPr>
              <w:pStyle w:val="31"/>
              <w:ind w:firstLine="480" w:firstLineChars="200"/>
              <w:rPr>
                <w:rFonts w:ascii="仿宋" w:hAnsi="仿宋" w:eastAsia="仿宋" w:cs="仿宋"/>
                <w:sz w:val="24"/>
                <w:szCs w:val="24"/>
              </w:rPr>
            </w:pPr>
            <w:r>
              <w:rPr>
                <w:rFonts w:hint="eastAsia" w:ascii="仿宋" w:hAnsi="仿宋" w:eastAsia="仿宋" w:cs="仿宋"/>
                <w:sz w:val="24"/>
                <w:szCs w:val="24"/>
              </w:rPr>
              <w:t>电话及短信另行通知</w:t>
            </w:r>
          </w:p>
        </w:tc>
      </w:tr>
      <w:tr w14:paraId="118E53A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4820AC6D">
            <w:pPr>
              <w:pStyle w:val="27"/>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09503BE0">
            <w:pPr>
              <w:pStyle w:val="28"/>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3B073A1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4B3FD475">
            <w:pPr>
              <w:spacing w:line="360" w:lineRule="auto"/>
              <w:ind w:firstLine="220" w:firstLineChars="100"/>
              <w:rPr>
                <w:rFonts w:ascii="仿宋" w:hAnsi="仿宋" w:eastAsia="仿宋" w:cs="仿宋"/>
                <w:sz w:val="22"/>
              </w:rPr>
            </w:pPr>
            <w:r>
              <w:rPr>
                <w:rFonts w:hint="eastAsia" w:ascii="仿宋" w:hAnsi="仿宋" w:eastAsia="仿宋" w:cs="仿宋"/>
                <w:sz w:val="22"/>
              </w:rPr>
              <w:t>联系方式：</w:t>
            </w:r>
            <w:r>
              <w:rPr>
                <w:rFonts w:hint="eastAsia" w:ascii="仿宋" w:hAnsi="仿宋" w:eastAsia="仿宋" w:cs="仿宋"/>
                <w:sz w:val="22"/>
                <w:lang w:val="en-US" w:eastAsia="zh-CN"/>
              </w:rPr>
              <w:t>刘</w:t>
            </w:r>
            <w:r>
              <w:rPr>
                <w:rFonts w:hint="eastAsia" w:ascii="仿宋" w:hAnsi="仿宋" w:eastAsia="仿宋" w:cs="仿宋"/>
                <w:sz w:val="22"/>
              </w:rPr>
              <w:t>老师 18081208357</w:t>
            </w:r>
          </w:p>
          <w:p w14:paraId="4F7B8737">
            <w:pPr>
              <w:spacing w:line="360" w:lineRule="auto"/>
              <w:ind w:left="210" w:leftChars="100"/>
              <w:rPr>
                <w:rFonts w:hint="eastAsia" w:ascii="仿宋" w:hAnsi="仿宋" w:eastAsia="仿宋" w:cs="仿宋"/>
                <w:b/>
                <w:bCs/>
                <w:sz w:val="22"/>
                <w:lang w:val="en-US" w:eastAsia="zh-CN"/>
              </w:rPr>
            </w:pPr>
            <w:r>
              <w:rPr>
                <w:rFonts w:hint="eastAsia" w:ascii="仿宋" w:hAnsi="仿宋" w:eastAsia="仿宋" w:cs="仿宋"/>
                <w:b/>
                <w:bCs/>
                <w:sz w:val="22"/>
              </w:rPr>
              <w:t>（2）主管部门：</w:t>
            </w:r>
            <w:r>
              <w:rPr>
                <w:rFonts w:hint="eastAsia" w:ascii="仿宋" w:hAnsi="仿宋" w:eastAsia="仿宋" w:cs="仿宋"/>
                <w:b/>
                <w:bCs/>
                <w:sz w:val="22"/>
                <w:lang w:val="en-US" w:eastAsia="zh-CN"/>
              </w:rPr>
              <w:t>信息中心</w:t>
            </w:r>
          </w:p>
          <w:p w14:paraId="4CB4263F">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联系方式：</w:t>
            </w:r>
            <w:r>
              <w:rPr>
                <w:rFonts w:hint="eastAsia" w:ascii="仿宋" w:hAnsi="仿宋" w:eastAsia="仿宋" w:cs="仿宋"/>
                <w:sz w:val="22"/>
                <w:lang w:val="en-US" w:eastAsia="zh-CN"/>
              </w:rPr>
              <w:t>沈老师 15984604404</w:t>
            </w:r>
          </w:p>
          <w:p w14:paraId="21FFECDE">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074E0AE4">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5E6DA837">
            <w:pPr>
              <w:spacing w:line="360" w:lineRule="auto"/>
              <w:ind w:left="210" w:leftChars="100"/>
              <w:rPr>
                <w:rFonts w:ascii="仿宋" w:hAnsi="仿宋" w:eastAsia="仿宋" w:cs="仿宋"/>
                <w:sz w:val="22"/>
              </w:rPr>
            </w:pPr>
          </w:p>
        </w:tc>
      </w:tr>
    </w:tbl>
    <w:p w14:paraId="0FE86C99">
      <w:pPr>
        <w:pStyle w:val="24"/>
        <w:numPr>
          <w:ilvl w:val="4"/>
          <w:numId w:val="0"/>
        </w:numPr>
        <w:outlineLvl w:val="9"/>
      </w:pPr>
    </w:p>
    <w:p w14:paraId="0C7CB99D"/>
    <w:p w14:paraId="59C21E97">
      <w:pPr>
        <w:pStyle w:val="5"/>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9"/>
        <w:tblW w:w="8620"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45" w:type="dxa"/>
          <w:left w:w="96" w:type="dxa"/>
          <w:bottom w:w="45" w:type="dxa"/>
          <w:right w:w="96" w:type="dxa"/>
        </w:tblCellMar>
      </w:tblPr>
      <w:tblGrid>
        <w:gridCol w:w="752"/>
        <w:gridCol w:w="1194"/>
        <w:gridCol w:w="6674"/>
      </w:tblGrid>
      <w:tr w14:paraId="0DCB2A5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tblHeader/>
          <w:jc w:val="center"/>
        </w:trPr>
        <w:tc>
          <w:tcPr>
            <w:tcW w:w="752" w:type="dxa"/>
            <w:tcBorders>
              <w:top w:val="single" w:color="auto" w:sz="18" w:space="0"/>
            </w:tcBorders>
            <w:vAlign w:val="center"/>
          </w:tcPr>
          <w:p w14:paraId="075DDBED">
            <w:pPr>
              <w:snapToGrid w:val="0"/>
              <w:spacing w:line="360" w:lineRule="auto"/>
              <w:jc w:val="center"/>
              <w:rPr>
                <w:rFonts w:hint="eastAsia" w:ascii="仿宋" w:hAnsi="仿宋" w:eastAsia="仿宋" w:cs="仿宋"/>
                <w:b/>
                <w:bCs/>
                <w:sz w:val="22"/>
                <w:lang w:eastAsia="zh-CN"/>
              </w:rPr>
            </w:pPr>
            <w:r>
              <w:rPr>
                <w:rFonts w:hint="eastAsia" w:ascii="仿宋" w:hAnsi="仿宋" w:eastAsia="仿宋" w:cs="仿宋"/>
                <w:b/>
                <w:bCs/>
                <w:sz w:val="22"/>
                <w:lang w:eastAsia="zh-CN"/>
              </w:rPr>
              <w:t>序号</w:t>
            </w:r>
          </w:p>
        </w:tc>
        <w:tc>
          <w:tcPr>
            <w:tcW w:w="1194" w:type="dxa"/>
            <w:tcBorders>
              <w:top w:val="single" w:color="auto" w:sz="18" w:space="0"/>
            </w:tcBorders>
            <w:vAlign w:val="center"/>
          </w:tcPr>
          <w:p w14:paraId="34C43295">
            <w:pPr>
              <w:snapToGrid w:val="0"/>
              <w:spacing w:line="360" w:lineRule="auto"/>
              <w:jc w:val="center"/>
              <w:rPr>
                <w:rFonts w:hint="eastAsia" w:ascii="仿宋" w:hAnsi="仿宋" w:eastAsia="仿宋" w:cs="仿宋"/>
                <w:b/>
                <w:bCs/>
                <w:sz w:val="22"/>
                <w:lang w:eastAsia="zh-CN"/>
              </w:rPr>
            </w:pPr>
            <w:r>
              <w:rPr>
                <w:rFonts w:hint="eastAsia" w:ascii="仿宋" w:hAnsi="仿宋" w:eastAsia="仿宋" w:cs="仿宋"/>
                <w:b/>
                <w:bCs/>
                <w:sz w:val="22"/>
                <w:lang w:eastAsia="zh-CN"/>
              </w:rPr>
              <w:t>应知事项</w:t>
            </w:r>
          </w:p>
        </w:tc>
        <w:tc>
          <w:tcPr>
            <w:tcW w:w="6674" w:type="dxa"/>
            <w:tcBorders>
              <w:top w:val="single" w:color="auto" w:sz="18" w:space="0"/>
            </w:tcBorders>
            <w:vAlign w:val="center"/>
          </w:tcPr>
          <w:p w14:paraId="6A4A9D4D">
            <w:pPr>
              <w:snapToGrid w:val="0"/>
              <w:spacing w:line="360" w:lineRule="auto"/>
              <w:jc w:val="center"/>
              <w:rPr>
                <w:rFonts w:hint="eastAsia" w:ascii="仿宋" w:hAnsi="仿宋" w:eastAsia="仿宋" w:cs="仿宋"/>
                <w:b/>
                <w:bCs/>
                <w:sz w:val="22"/>
                <w:lang w:eastAsia="zh-CN"/>
              </w:rPr>
            </w:pPr>
            <w:r>
              <w:rPr>
                <w:rFonts w:hint="eastAsia" w:ascii="仿宋" w:hAnsi="仿宋" w:eastAsia="仿宋" w:cs="仿宋"/>
                <w:b/>
                <w:bCs/>
                <w:sz w:val="22"/>
                <w:lang w:eastAsia="zh-CN"/>
              </w:rPr>
              <w:t>说明和要求</w:t>
            </w:r>
          </w:p>
        </w:tc>
      </w:tr>
      <w:tr w14:paraId="4D771F7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4541012D">
            <w:pPr>
              <w:pStyle w:val="27"/>
              <w:numPr>
                <w:ilvl w:val="0"/>
                <w:numId w:val="12"/>
              </w:numPr>
              <w:tabs>
                <w:tab w:val="left" w:pos="220"/>
              </w:tabs>
              <w:adjustRightInd w:val="0"/>
              <w:snapToGrid w:val="0"/>
              <w:rPr>
                <w:rFonts w:ascii="仿宋" w:hAnsi="仿宋" w:eastAsia="仿宋" w:cs="仿宋"/>
                <w:szCs w:val="21"/>
              </w:rPr>
            </w:pPr>
          </w:p>
        </w:tc>
        <w:tc>
          <w:tcPr>
            <w:tcW w:w="1194" w:type="dxa"/>
            <w:vAlign w:val="center"/>
          </w:tcPr>
          <w:p w14:paraId="6DF87739">
            <w:pPr>
              <w:snapToGri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6674" w:type="dxa"/>
            <w:vAlign w:val="center"/>
          </w:tcPr>
          <w:p w14:paraId="2929E52C">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（1）本项目报价统一使用人民币报价；</w:t>
            </w:r>
          </w:p>
          <w:p w14:paraId="322E3DCF">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43714C5A">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谈判小组应当将其作为无效投标处理。</w:t>
            </w:r>
          </w:p>
        </w:tc>
      </w:tr>
      <w:tr w14:paraId="579C90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38245B9B">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78113A3D">
            <w:pPr>
              <w:snapToGrid w:val="0"/>
              <w:spacing w:line="360" w:lineRule="auto"/>
              <w:jc w:val="center"/>
              <w:rPr>
                <w:rFonts w:ascii="仿宋" w:hAnsi="Times New Roman" w:eastAsia="仿宋" w:cs="Times New Roman"/>
                <w:kern w:val="0"/>
                <w:sz w:val="22"/>
              </w:rPr>
            </w:pPr>
            <w:r>
              <w:rPr>
                <w:rFonts w:hint="eastAsia" w:ascii="仿宋" w:hAnsi="Times New Roman" w:eastAsia="仿宋" w:cs="Times New Roman"/>
                <w:kern w:val="0"/>
                <w:sz w:val="22"/>
              </w:rPr>
              <w:t>响应文件编制要求</w:t>
            </w:r>
          </w:p>
        </w:tc>
        <w:tc>
          <w:tcPr>
            <w:tcW w:w="6674" w:type="dxa"/>
            <w:vAlign w:val="center"/>
          </w:tcPr>
          <w:p w14:paraId="5A933C4F">
            <w:pPr>
              <w:snapToGrid w:val="0"/>
              <w:spacing w:line="360" w:lineRule="auto"/>
              <w:ind w:left="210" w:leftChars="100"/>
              <w:jc w:val="left"/>
              <w:rPr>
                <w:rFonts w:ascii="仿宋" w:hAnsi="仿宋" w:eastAsia="仿宋" w:cs="仿宋"/>
                <w:b/>
                <w:bCs/>
                <w:sz w:val="22"/>
              </w:rPr>
            </w:pPr>
            <w:r>
              <w:rPr>
                <w:rFonts w:hint="eastAsia" w:ascii="仿宋" w:hAnsi="仿宋" w:eastAsia="仿宋" w:cs="仿宋"/>
                <w:b/>
                <w:bCs/>
                <w:sz w:val="22"/>
              </w:rPr>
              <w:t>（1）响应文件的格式</w:t>
            </w:r>
          </w:p>
          <w:p w14:paraId="6C0AEB87">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供应商应仔细阅读本谈判文件，按谈判文件第六章“响应文件格式”进行编制，供应商在编制响应文件时应使用该章所附格式；该章未规定格式的，由供应商根据实际情况自主编制，但不得影响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34704D9">
            <w:pPr>
              <w:snapToGrid w:val="0"/>
              <w:spacing w:line="360" w:lineRule="auto"/>
              <w:ind w:left="210" w:leftChars="100"/>
              <w:jc w:val="left"/>
              <w:rPr>
                <w:rFonts w:ascii="仿宋" w:hAnsi="仿宋" w:eastAsia="仿宋" w:cs="仿宋"/>
                <w:b/>
                <w:bCs/>
                <w:sz w:val="22"/>
              </w:rPr>
            </w:pPr>
            <w:r>
              <w:rPr>
                <w:rFonts w:hint="eastAsia" w:ascii="仿宋" w:hAnsi="仿宋" w:eastAsia="仿宋" w:cs="仿宋"/>
                <w:b/>
                <w:bCs/>
                <w:sz w:val="22"/>
              </w:rPr>
              <w:t>（2）响应文件的语言</w:t>
            </w:r>
          </w:p>
          <w:p w14:paraId="2BD30F34">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7B525C65">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22F21BAB">
            <w:pPr>
              <w:snapToGrid w:val="0"/>
              <w:spacing w:line="360" w:lineRule="auto"/>
              <w:ind w:left="210" w:leftChars="100"/>
              <w:jc w:val="left"/>
              <w:rPr>
                <w:rFonts w:ascii="仿宋" w:hAnsi="仿宋" w:eastAsia="仿宋" w:cs="仿宋"/>
                <w:b/>
                <w:bCs/>
                <w:sz w:val="22"/>
              </w:rPr>
            </w:pPr>
            <w:r>
              <w:rPr>
                <w:rFonts w:hint="eastAsia" w:ascii="仿宋" w:hAnsi="仿宋" w:eastAsia="仿宋" w:cs="仿宋"/>
                <w:b/>
                <w:bCs/>
                <w:sz w:val="22"/>
              </w:rPr>
              <w:t>（3）响应文件的签署、盖章</w:t>
            </w:r>
          </w:p>
          <w:p w14:paraId="18E22B23">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响应文件应根据谈判文件的要求签署、盖章；</w:t>
            </w:r>
          </w:p>
        </w:tc>
      </w:tr>
      <w:tr w14:paraId="25BDB06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21F625CA">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04A79797">
            <w:pPr>
              <w:snapToGrid w:val="0"/>
              <w:spacing w:line="360" w:lineRule="auto"/>
              <w:jc w:val="center"/>
              <w:rPr>
                <w:rFonts w:ascii="仿宋" w:hAnsi="Times New Roman" w:eastAsia="仿宋" w:cs="Times New Roman"/>
                <w:kern w:val="0"/>
                <w:sz w:val="22"/>
              </w:rPr>
            </w:pPr>
            <w:r>
              <w:rPr>
                <w:rFonts w:hint="eastAsia" w:ascii="仿宋" w:hAnsi="Times New Roman" w:eastAsia="仿宋" w:cs="Times New Roman"/>
                <w:kern w:val="0"/>
                <w:sz w:val="22"/>
              </w:rPr>
              <w:t>评审要求</w:t>
            </w:r>
          </w:p>
        </w:tc>
        <w:tc>
          <w:tcPr>
            <w:tcW w:w="6674" w:type="dxa"/>
            <w:vAlign w:val="center"/>
          </w:tcPr>
          <w:p w14:paraId="269650E9">
            <w:pPr>
              <w:numPr>
                <w:ilvl w:val="0"/>
                <w:numId w:val="13"/>
              </w:num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评审小组根据谈判文件对供应商的响应文件进行资格审查、符合性审查及其他有效性审查。评审小组将根据实际情况，在评审现场确定变动采购需求中的技术、商务和其他要求的，将与所有供应商进行谈判；</w:t>
            </w:r>
            <w:r>
              <w:rPr>
                <w:rFonts w:ascii="仿宋" w:hAnsi="仿宋" w:eastAsia="仿宋" w:cs="仿宋"/>
                <w:sz w:val="22"/>
              </w:rPr>
              <w:t xml:space="preserve"> </w:t>
            </w:r>
          </w:p>
          <w:p w14:paraId="52D13815">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（2）谈判后，进行二轮报价或多轮报价，供应商次轮报价不得高于上轮报价，以供应商的最终报价作为有效报价参与评审；</w:t>
            </w:r>
          </w:p>
          <w:p w14:paraId="58D4C0FF">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（3）谈判当天，供应商应保证谈判文件中所写明的法定代表人或委托代理人的联系方式（手机或邮箱）的畅通，并确保其具备与采购人就本项目进行谈判。</w:t>
            </w:r>
          </w:p>
        </w:tc>
      </w:tr>
      <w:tr w14:paraId="23B6EC1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1CFF7FA7">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3F4F9E15">
            <w:pPr>
              <w:snapToGrid w:val="0"/>
              <w:spacing w:line="360" w:lineRule="auto"/>
              <w:jc w:val="center"/>
              <w:rPr>
                <w:rFonts w:ascii="仿宋" w:hAnsi="Times New Roman" w:eastAsia="仿宋" w:cs="Times New Roman"/>
                <w:kern w:val="0"/>
                <w:sz w:val="22"/>
              </w:rPr>
            </w:pPr>
            <w:r>
              <w:rPr>
                <w:rFonts w:hint="eastAsia" w:ascii="仿宋" w:hAnsi="Times New Roman" w:eastAsia="仿宋" w:cs="Times New Roman"/>
                <w:kern w:val="0"/>
                <w:sz w:val="22"/>
              </w:rPr>
              <w:t>货物质量要求</w:t>
            </w:r>
          </w:p>
        </w:tc>
        <w:tc>
          <w:tcPr>
            <w:tcW w:w="6674" w:type="dxa"/>
            <w:vAlign w:val="center"/>
          </w:tcPr>
          <w:p w14:paraId="19C33C97">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34A903EC">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60912BB0">
            <w:pPr>
              <w:snapToGrid w:val="0"/>
              <w:spacing w:line="360" w:lineRule="auto"/>
              <w:ind w:left="210" w:leftChars="100"/>
              <w:jc w:val="left"/>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1E1C4A1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3BFE332E">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3442D30C">
            <w:pPr>
              <w:snapToGrid w:val="0"/>
              <w:spacing w:line="360" w:lineRule="auto"/>
              <w:jc w:val="center"/>
              <w:rPr>
                <w:rFonts w:ascii="仿宋" w:hAnsi="Times New Roman" w:eastAsia="仿宋" w:cs="Times New Roman"/>
                <w:kern w:val="0"/>
                <w:sz w:val="22"/>
              </w:rPr>
            </w:pPr>
            <w:r>
              <w:rPr>
                <w:rFonts w:hint="eastAsia" w:ascii="仿宋" w:hAnsi="Times New Roman" w:eastAsia="仿宋" w:cs="Times New Roman"/>
                <w:kern w:val="0"/>
                <w:sz w:val="22"/>
              </w:rPr>
              <w:t>服务质量要求</w:t>
            </w:r>
          </w:p>
        </w:tc>
        <w:tc>
          <w:tcPr>
            <w:tcW w:w="6674" w:type="dxa"/>
            <w:vAlign w:val="center"/>
          </w:tcPr>
          <w:p w14:paraId="33C8715A">
            <w:pPr>
              <w:snapToGrid w:val="0"/>
              <w:spacing w:line="360" w:lineRule="auto"/>
              <w:ind w:left="210" w:leftChars="100"/>
              <w:jc w:val="left"/>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及采购人承诺的质量、技术和其他要求，符合国家相关的质量标准和出厂标准</w:t>
            </w:r>
            <w:r>
              <w:rPr>
                <w:rFonts w:hint="eastAsia" w:ascii="仿宋" w:hAnsi="仿宋" w:eastAsia="仿宋" w:cs="仿宋"/>
                <w:sz w:val="22"/>
                <w:lang w:val="zh-TW"/>
              </w:rPr>
              <w:t>；</w:t>
            </w:r>
          </w:p>
          <w:p w14:paraId="435D34BE">
            <w:pPr>
              <w:snapToGrid w:val="0"/>
              <w:spacing w:line="360" w:lineRule="auto"/>
              <w:ind w:left="210" w:leftChars="100"/>
              <w:jc w:val="left"/>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1AFB9D7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7FD01A5C">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77092780">
            <w:pPr>
              <w:snapToGrid w:val="0"/>
              <w:spacing w:line="360" w:lineRule="auto"/>
              <w:jc w:val="center"/>
              <w:rPr>
                <w:rFonts w:ascii="仿宋" w:hAnsi="Times New Roman" w:eastAsia="仿宋" w:cs="Times New Roman"/>
                <w:kern w:val="0"/>
                <w:sz w:val="22"/>
              </w:rPr>
            </w:pPr>
            <w:r>
              <w:rPr>
                <w:rFonts w:hint="eastAsia" w:ascii="仿宋" w:hAnsi="Times New Roman" w:eastAsia="仿宋" w:cs="Times New Roman"/>
                <w:kern w:val="0"/>
                <w:sz w:val="22"/>
              </w:rPr>
              <w:t>知识产权要求</w:t>
            </w:r>
          </w:p>
        </w:tc>
        <w:tc>
          <w:tcPr>
            <w:tcW w:w="6674" w:type="dxa"/>
            <w:vAlign w:val="center"/>
          </w:tcPr>
          <w:p w14:paraId="010F8D81">
            <w:pPr>
              <w:snapToGrid w:val="0"/>
              <w:spacing w:line="360" w:lineRule="auto"/>
              <w:ind w:left="210" w:leftChars="100"/>
              <w:jc w:val="left"/>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653F0F5C">
            <w:pPr>
              <w:snapToGrid w:val="0"/>
              <w:spacing w:line="360" w:lineRule="auto"/>
              <w:ind w:left="210" w:leftChars="100"/>
              <w:jc w:val="left"/>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供应商将在谈判项目实施过程中采用自有或者第三方知识产权的，使用该知识产权后，供应商需提供开发接口和开发手册等技术资料，并承诺提供无限期支持，采购人享有使用权（含采购人委托第三方在该项目后续开发的使用权）；</w:t>
            </w:r>
          </w:p>
          <w:p w14:paraId="7C9819A1">
            <w:pPr>
              <w:snapToGrid w:val="0"/>
              <w:spacing w:line="360" w:lineRule="auto"/>
              <w:ind w:left="210" w:leftChars="100"/>
              <w:jc w:val="left"/>
              <w:rPr>
                <w:rFonts w:ascii="仿宋" w:hAnsi="仿宋" w:eastAsia="仿宋" w:cs="仿宋"/>
                <w:sz w:val="22"/>
                <w:lang w:val="zh-TW"/>
              </w:rPr>
            </w:pPr>
            <w:r>
              <w:rPr>
                <w:rFonts w:hint="eastAsia" w:ascii="仿宋" w:hAnsi="仿宋" w:eastAsia="仿宋" w:cs="仿宋"/>
                <w:sz w:val="22"/>
                <w:lang w:val="zh-TW"/>
              </w:rPr>
              <w:t>（</w:t>
            </w:r>
            <w:r>
              <w:rPr>
                <w:rFonts w:hint="eastAsia" w:ascii="仿宋" w:hAnsi="仿宋" w:eastAsia="仿宋" w:cs="仿宋"/>
                <w:sz w:val="22"/>
              </w:rPr>
              <w:t>3</w:t>
            </w:r>
            <w:r>
              <w:rPr>
                <w:rFonts w:hint="eastAsia" w:ascii="仿宋" w:hAnsi="仿宋" w:eastAsia="仿宋" w:cs="仿宋"/>
                <w:sz w:val="22"/>
                <w:lang w:val="zh-TW"/>
              </w:rPr>
              <w:t>）如采用供应商所不拥有的知识产权，则在报价中必须包括合法获取该知识产权的相关费用。</w:t>
            </w:r>
          </w:p>
        </w:tc>
      </w:tr>
      <w:tr w14:paraId="44FA562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356AC96E">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47196FA5">
            <w:pPr>
              <w:snapToGrid w:val="0"/>
              <w:spacing w:line="360" w:lineRule="auto"/>
              <w:jc w:val="center"/>
              <w:rPr>
                <w:rFonts w:ascii="仿宋" w:hAnsi="Times New Roman" w:eastAsia="仿宋" w:cs="Times New Roman"/>
                <w:kern w:val="0"/>
                <w:sz w:val="22"/>
              </w:rPr>
            </w:pPr>
            <w:r>
              <w:rPr>
                <w:rFonts w:hint="eastAsia" w:ascii="仿宋" w:hAnsi="Times New Roman" w:eastAsia="仿宋" w:cs="Times New Roman"/>
                <w:kern w:val="0"/>
                <w:sz w:val="22"/>
              </w:rPr>
              <w:t>供应商纪律要求</w:t>
            </w:r>
          </w:p>
        </w:tc>
        <w:tc>
          <w:tcPr>
            <w:tcW w:w="6674" w:type="dxa"/>
            <w:vAlign w:val="center"/>
          </w:tcPr>
          <w:p w14:paraId="0A9BC69C">
            <w:pPr>
              <w:snapToGrid w:val="0"/>
              <w:spacing w:line="360" w:lineRule="auto"/>
              <w:ind w:left="210" w:leftChars="100"/>
              <w:jc w:val="left"/>
              <w:rPr>
                <w:rFonts w:hint="eastAsia" w:ascii="仿宋" w:hAnsi="仿宋" w:eastAsia="仿宋" w:cs="仿宋"/>
                <w:sz w:val="22"/>
                <w:lang w:val="zh-TW"/>
              </w:rPr>
            </w:pPr>
            <w:r>
              <w:rPr>
                <w:rFonts w:hint="eastAsia" w:ascii="仿宋" w:hAnsi="仿宋" w:eastAsia="仿宋" w:cs="仿宋"/>
                <w:b/>
                <w:bCs/>
                <w:sz w:val="22"/>
                <w:lang w:val="en-US" w:eastAsia="zh-CN"/>
              </w:rPr>
              <w:t>1</w:t>
            </w:r>
            <w:r>
              <w:rPr>
                <w:rFonts w:hint="eastAsia" w:ascii="仿宋" w:hAnsi="仿宋" w:eastAsia="仿宋" w:cs="仿宋"/>
                <w:sz w:val="22"/>
                <w:lang w:val="en-US" w:eastAsia="zh-CN"/>
              </w:rPr>
              <w:t>、</w:t>
            </w:r>
            <w:r>
              <w:rPr>
                <w:rFonts w:hint="eastAsia" w:ascii="仿宋" w:hAnsi="仿宋" w:eastAsia="仿宋" w:cs="仿宋"/>
                <w:sz w:val="22"/>
                <w:lang w:val="zh-TW"/>
              </w:rPr>
              <w:t xml:space="preserve">供应商在医院采购活动中有下列情形之一的，列入“绵阳市中心医院供应商诚信管理黑名单”，从认定之日起3年内禁止该公司及其法人参加医院自主采购活动;若该供应商为在院常规供货供应商，将终止其继续供货权利: </w:t>
            </w:r>
          </w:p>
          <w:p w14:paraId="46F0BE96">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提供虚假证明、虚假承诺及虚假材料谋取成交;</w:t>
            </w:r>
          </w:p>
          <w:p w14:paraId="29698A24">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采取不正当手段诋毁、排挤其他供应商;</w:t>
            </w:r>
          </w:p>
          <w:p w14:paraId="0E3965CC">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与医院工作人员、评审专家或其它供应商恶意串通;</w:t>
            </w:r>
          </w:p>
          <w:p w14:paraId="55DE7348">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 xml:space="preserve"> 捏造事实或者提供虚假材料质疑、投诉或者以非法手段取得证明材料进行质疑、投诉的；</w:t>
            </w:r>
          </w:p>
          <w:p w14:paraId="12F3DE9D">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不遵守评审现场工作纪律，扰乱或者组织其他人扰乱评审现场秩序；</w:t>
            </w:r>
          </w:p>
          <w:p w14:paraId="3F2015EE">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威胁、骚扰评审专家、医院工作人员，干扰正常办公秩序;</w:t>
            </w:r>
          </w:p>
          <w:p w14:paraId="20BA87B4">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 xml:space="preserve"> 无正当理由放弃成交候选人资格的，或者放弃成交的，或者成交后不与采购人签订采购合同；</w:t>
            </w:r>
          </w:p>
          <w:p w14:paraId="0AA8D2C5">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未按照采购文件、响应文件确定事项签订采购合同;</w:t>
            </w:r>
          </w:p>
          <w:p w14:paraId="310B1E5A">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擅自将采购合同转包、分包;</w:t>
            </w:r>
          </w:p>
          <w:p w14:paraId="082CD949">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无正当理由拒绝或者不按照约定履行采购合同，或者擅自变更、中止或者终止采购合同；</w:t>
            </w:r>
          </w:p>
          <w:p w14:paraId="1DEE0EA9">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提供假冒伪劣产品或者虚假发票;</w:t>
            </w:r>
          </w:p>
          <w:p w14:paraId="3C8F145A">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项目履约过程中发生严重安全事故或者质量事故;</w:t>
            </w:r>
          </w:p>
          <w:p w14:paraId="2E12A7BA">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 xml:space="preserve"> 因供应商的产品问题引起投诉或纠纷，给医院造成损失，供应商未及时配合处理及承担相应经济损失；</w:t>
            </w:r>
          </w:p>
          <w:p w14:paraId="5B391E79">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严重违反采购合同约定，未能完成或者没有能力完成全部货物、服务或者工程项目，未按照约定履行全部合同义务或者变相增加费用;</w:t>
            </w:r>
          </w:p>
          <w:p w14:paraId="34CD9758">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因供应商原因导致履约时间拖延，造成严重后果;</w:t>
            </w:r>
          </w:p>
          <w:p w14:paraId="65464A9A">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供应商工作人员向采购人及其工作人员、评审专家或采购相关专业人员行贿或者提供其他不正当利益等违反国家或医院廉洁相关规定;</w:t>
            </w:r>
          </w:p>
          <w:p w14:paraId="7EA26046">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借维权之名获取非法利益、不当得利的；</w:t>
            </w:r>
          </w:p>
          <w:p w14:paraId="22BE80D7">
            <w:pPr>
              <w:numPr>
                <w:ilvl w:val="0"/>
                <w:numId w:val="14"/>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违反医院采购管理各项规章制度，造成严重后果。</w:t>
            </w:r>
          </w:p>
          <w:p w14:paraId="24CD1D31">
            <w:pPr>
              <w:snapToGrid w:val="0"/>
              <w:spacing w:line="360" w:lineRule="auto"/>
              <w:ind w:left="210" w:leftChars="100"/>
              <w:jc w:val="left"/>
              <w:rPr>
                <w:rFonts w:hint="eastAsia" w:ascii="仿宋" w:hAnsi="仿宋" w:eastAsia="仿宋" w:cs="仿宋"/>
                <w:sz w:val="22"/>
                <w:lang w:val="zh-TW"/>
              </w:rPr>
            </w:pPr>
            <w:r>
              <w:rPr>
                <w:rFonts w:hint="eastAsia" w:ascii="仿宋" w:hAnsi="仿宋" w:eastAsia="仿宋" w:cs="仿宋"/>
                <w:b/>
                <w:bCs/>
                <w:sz w:val="22"/>
                <w:lang w:val="en-US" w:eastAsia="zh-CN"/>
              </w:rPr>
              <w:t>2</w:t>
            </w:r>
            <w:r>
              <w:rPr>
                <w:rFonts w:hint="eastAsia" w:ascii="仿宋" w:hAnsi="仿宋" w:eastAsia="仿宋" w:cs="仿宋"/>
                <w:sz w:val="22"/>
                <w:lang w:val="en-US" w:eastAsia="zh-CN"/>
              </w:rPr>
              <w:t>、</w:t>
            </w:r>
            <w:r>
              <w:rPr>
                <w:rFonts w:hint="eastAsia" w:ascii="仿宋" w:hAnsi="仿宋" w:eastAsia="仿宋" w:cs="仿宋"/>
                <w:sz w:val="22"/>
                <w:lang w:val="zh-TW"/>
              </w:rPr>
              <w:t>本办法第</w:t>
            </w:r>
            <w:r>
              <w:rPr>
                <w:rFonts w:hint="eastAsia" w:ascii="仿宋" w:hAnsi="仿宋" w:eastAsia="仿宋" w:cs="仿宋"/>
                <w:sz w:val="22"/>
                <w:lang w:val="en-US" w:eastAsia="zh-CN"/>
              </w:rPr>
              <w:t>1</w:t>
            </w:r>
            <w:r>
              <w:rPr>
                <w:rFonts w:hint="eastAsia" w:ascii="仿宋" w:hAnsi="仿宋" w:eastAsia="仿宋" w:cs="仿宋"/>
                <w:sz w:val="22"/>
                <w:lang w:val="zh-TW"/>
              </w:rPr>
              <w:t>条所列的恶意串通，包括以下情形:</w:t>
            </w:r>
          </w:p>
          <w:p w14:paraId="68EE32C6">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供应商之间协商投标报价、技术方案等响应文件实质性内容;</w:t>
            </w:r>
          </w:p>
          <w:p w14:paraId="46673727">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属于同一集团、协会、商会等组织成员的供应商按照该组织要求协同投标;</w:t>
            </w:r>
          </w:p>
          <w:p w14:paraId="0D712173">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供应商之间事先约定由某一特定供应商中标成交;</w:t>
            </w:r>
          </w:p>
          <w:p w14:paraId="344D0A4B">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供应商之间商定部分供应商放弃投标或者放弃中标成交;</w:t>
            </w:r>
          </w:p>
          <w:p w14:paraId="2FCBA9BE">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供应商相互之间为谋求特定供应商中标成交或者排斥其他供应商的其他串通行为;</w:t>
            </w:r>
          </w:p>
          <w:p w14:paraId="570DD336">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不同供应商的响应文件异常一致或者投标报价呈规律性差异;</w:t>
            </w:r>
          </w:p>
          <w:p w14:paraId="76C2081F">
            <w:pPr>
              <w:numPr>
                <w:ilvl w:val="0"/>
                <w:numId w:val="15"/>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不同供应商的投标文件相互混装;</w:t>
            </w:r>
          </w:p>
          <w:p w14:paraId="071A3DC0">
            <w:pPr>
              <w:snapToGrid w:val="0"/>
              <w:spacing w:line="360" w:lineRule="auto"/>
              <w:ind w:left="210" w:leftChars="100"/>
              <w:jc w:val="left"/>
              <w:rPr>
                <w:rFonts w:hint="eastAsia" w:ascii="仿宋" w:hAnsi="仿宋" w:eastAsia="仿宋" w:cs="仿宋"/>
                <w:sz w:val="22"/>
                <w:lang w:val="zh-TW"/>
              </w:rPr>
            </w:pPr>
            <w:r>
              <w:rPr>
                <w:rFonts w:hint="eastAsia" w:ascii="仿宋" w:hAnsi="仿宋" w:eastAsia="仿宋" w:cs="仿宋"/>
                <w:sz w:val="22"/>
                <w:lang w:val="zh-TW"/>
              </w:rPr>
              <w:t>(八)不同供应商的投标保证金从同一单位或者个人的账户转出。</w:t>
            </w:r>
          </w:p>
          <w:p w14:paraId="634022E7">
            <w:pPr>
              <w:snapToGrid w:val="0"/>
              <w:spacing w:line="360" w:lineRule="auto"/>
              <w:ind w:left="210" w:leftChars="100"/>
              <w:jc w:val="left"/>
              <w:rPr>
                <w:rFonts w:hint="eastAsia" w:ascii="仿宋" w:hAnsi="仿宋" w:eastAsia="仿宋" w:cs="仿宋"/>
                <w:sz w:val="22"/>
                <w:lang w:val="zh-TW"/>
              </w:rPr>
            </w:pPr>
            <w:r>
              <w:rPr>
                <w:rFonts w:hint="eastAsia" w:ascii="仿宋" w:hAnsi="仿宋" w:eastAsia="仿宋" w:cs="仿宋"/>
                <w:b/>
                <w:bCs/>
                <w:sz w:val="22"/>
                <w:lang w:val="en-US" w:eastAsia="zh-CN"/>
              </w:rPr>
              <w:t>3</w:t>
            </w:r>
            <w:r>
              <w:rPr>
                <w:rFonts w:hint="eastAsia" w:ascii="仿宋" w:hAnsi="仿宋" w:eastAsia="仿宋" w:cs="仿宋"/>
                <w:sz w:val="22"/>
                <w:lang w:val="en-US" w:eastAsia="zh-CN"/>
              </w:rPr>
              <w:t>、</w:t>
            </w:r>
            <w:r>
              <w:rPr>
                <w:rFonts w:hint="eastAsia" w:ascii="仿宋" w:hAnsi="仿宋" w:eastAsia="仿宋" w:cs="仿宋"/>
                <w:sz w:val="22"/>
                <w:lang w:val="zh-TW"/>
              </w:rPr>
              <w:t xml:space="preserve"> 供应商在医院的采购活动中有下列情形之一的，列入“绵阳市中心医院供应商诚信管理黄名单”，从认定之日起1年内禁止该公司及其法人参加医院自主采购活动: </w:t>
            </w:r>
          </w:p>
          <w:p w14:paraId="7B478561">
            <w:pPr>
              <w:numPr>
                <w:ilvl w:val="0"/>
                <w:numId w:val="16"/>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在开标评审现场非法录音录像，不遵守开标评标等采购活动纪律，不听从工作人员劝告;</w:t>
            </w:r>
          </w:p>
          <w:p w14:paraId="73FA2A48">
            <w:pPr>
              <w:numPr>
                <w:ilvl w:val="0"/>
                <w:numId w:val="16"/>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投标截止后，无正当理由撤销其投标行为，导致项目无法正常开评标;</w:t>
            </w:r>
          </w:p>
          <w:p w14:paraId="4FDF5A73">
            <w:pPr>
              <w:numPr>
                <w:ilvl w:val="0"/>
                <w:numId w:val="16"/>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无正当理由采购合同履约期间违反合同约定;</w:t>
            </w:r>
          </w:p>
          <w:p w14:paraId="0E39BAB2">
            <w:pPr>
              <w:numPr>
                <w:ilvl w:val="0"/>
                <w:numId w:val="16"/>
              </w:numPr>
              <w:snapToGrid w:val="0"/>
              <w:spacing w:line="360" w:lineRule="auto"/>
              <w:ind w:left="454" w:leftChars="0" w:hanging="171" w:firstLineChars="0"/>
              <w:jc w:val="left"/>
              <w:rPr>
                <w:rFonts w:hint="eastAsia" w:ascii="仿宋" w:hAnsi="仿宋" w:eastAsia="仿宋" w:cs="仿宋"/>
                <w:sz w:val="22"/>
                <w:lang w:val="zh-TW"/>
              </w:rPr>
            </w:pPr>
            <w:r>
              <w:rPr>
                <w:rFonts w:hint="eastAsia" w:ascii="仿宋" w:hAnsi="仿宋" w:eastAsia="仿宋" w:cs="仿宋"/>
                <w:sz w:val="22"/>
                <w:lang w:val="zh-TW"/>
              </w:rPr>
              <w:t>因供应商原因导致同一项目连续两次验收未通过;</w:t>
            </w:r>
          </w:p>
          <w:p w14:paraId="590B0304">
            <w:pPr>
              <w:numPr>
                <w:ilvl w:val="0"/>
                <w:numId w:val="16"/>
              </w:numPr>
              <w:snapToGrid w:val="0"/>
              <w:spacing w:line="360" w:lineRule="auto"/>
              <w:ind w:left="454" w:leftChars="0" w:hanging="171" w:firstLineChars="0"/>
              <w:jc w:val="left"/>
              <w:rPr>
                <w:rFonts w:hint="eastAsia" w:ascii="仿宋" w:hAnsi="仿宋" w:eastAsia="仿宋" w:cs="仿宋"/>
                <w:sz w:val="22"/>
                <w:lang w:val="zh-TW" w:eastAsia="zh-CN"/>
              </w:rPr>
            </w:pPr>
            <w:r>
              <w:rPr>
                <w:rFonts w:hint="eastAsia" w:ascii="仿宋" w:hAnsi="仿宋" w:eastAsia="仿宋" w:cs="仿宋"/>
                <w:sz w:val="22"/>
                <w:lang w:val="zh-TW"/>
              </w:rPr>
              <w:t>不在规定期限内配合医院、新的中标(成交)供应商交接工作</w:t>
            </w:r>
            <w:r>
              <w:rPr>
                <w:rFonts w:hint="eastAsia" w:ascii="仿宋" w:hAnsi="仿宋" w:eastAsia="仿宋" w:cs="仿宋"/>
                <w:sz w:val="22"/>
                <w:lang w:val="zh-TW" w:eastAsia="zh-CN"/>
              </w:rPr>
              <w:t>。</w:t>
            </w:r>
          </w:p>
          <w:p w14:paraId="79137723">
            <w:pPr>
              <w:snapToGrid w:val="0"/>
              <w:spacing w:line="360" w:lineRule="auto"/>
              <w:ind w:firstLine="221" w:firstLineChars="100"/>
              <w:jc w:val="left"/>
              <w:rPr>
                <w:rFonts w:ascii="仿宋" w:hAnsi="Times New Roman" w:eastAsia="仿宋" w:cs="Times New Roman"/>
                <w:kern w:val="0"/>
                <w:sz w:val="22"/>
              </w:rPr>
            </w:pPr>
            <w:r>
              <w:rPr>
                <w:rFonts w:hint="eastAsia" w:ascii="仿宋" w:hAnsi="仿宋" w:eastAsia="仿宋" w:cs="仿宋"/>
                <w:b/>
                <w:bCs/>
                <w:sz w:val="22"/>
                <w:lang w:val="en-US" w:eastAsia="zh-CN"/>
              </w:rPr>
              <w:t>4、</w:t>
            </w:r>
            <w:r>
              <w:rPr>
                <w:rFonts w:hint="eastAsia" w:ascii="仿宋" w:hAnsi="仿宋" w:eastAsia="仿宋" w:cs="仿宋"/>
                <w:sz w:val="22"/>
                <w:lang w:val="zh-TW"/>
              </w:rPr>
              <w:t xml:space="preserve"> 生产厂家出现违反本制度第</w:t>
            </w:r>
            <w:r>
              <w:rPr>
                <w:rFonts w:hint="eastAsia" w:ascii="仿宋" w:hAnsi="仿宋" w:eastAsia="仿宋" w:cs="仿宋"/>
                <w:sz w:val="22"/>
                <w:lang w:val="en-US" w:eastAsia="zh-CN"/>
              </w:rPr>
              <w:t>1</w:t>
            </w:r>
            <w:r>
              <w:rPr>
                <w:rFonts w:hint="eastAsia" w:ascii="仿宋" w:hAnsi="仿宋" w:eastAsia="仿宋" w:cs="仿宋"/>
                <w:sz w:val="22"/>
                <w:lang w:val="zh-TW"/>
              </w:rPr>
              <w:t>条和第</w:t>
            </w:r>
            <w:r>
              <w:rPr>
                <w:rFonts w:hint="eastAsia" w:ascii="仿宋" w:hAnsi="仿宋" w:eastAsia="仿宋" w:cs="仿宋"/>
                <w:sz w:val="22"/>
                <w:lang w:val="en-US" w:eastAsia="zh-CN"/>
              </w:rPr>
              <w:t>3</w:t>
            </w:r>
            <w:r>
              <w:rPr>
                <w:rFonts w:hint="eastAsia" w:ascii="仿宋" w:hAnsi="仿宋" w:eastAsia="仿宋" w:cs="仿宋"/>
                <w:sz w:val="22"/>
                <w:lang w:val="zh-TW"/>
              </w:rPr>
              <w:t>条的，除对生产厂家按规定处理外，将对直接为医院销售该厂家产品的供应商（配送商）终止其1-3年（对应对生产厂家处罚年限）参与医院同类产品采购活动的权利。</w:t>
            </w:r>
          </w:p>
        </w:tc>
      </w:tr>
      <w:tr w14:paraId="27306A0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2F0F4182">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4B849C65">
            <w:pPr>
              <w:pStyle w:val="28"/>
              <w:snapToGrid w:val="0"/>
              <w:spacing w:line="360" w:lineRule="auto"/>
              <w:jc w:val="center"/>
              <w:rPr>
                <w:rFonts w:ascii="仿宋" w:hAnsi="Times New Roman" w:eastAsia="仿宋" w:cs="Times New Roman"/>
                <w:sz w:val="22"/>
                <w:szCs w:val="22"/>
              </w:rPr>
            </w:pPr>
            <w:r>
              <w:rPr>
                <w:rFonts w:hint="eastAsia" w:ascii="仿宋" w:hAnsi="Times New Roman" w:eastAsia="仿宋" w:cs="Times New Roman"/>
                <w:sz w:val="22"/>
                <w:szCs w:val="22"/>
              </w:rPr>
              <w:t>谈判文件澄清、修改</w:t>
            </w:r>
          </w:p>
        </w:tc>
        <w:tc>
          <w:tcPr>
            <w:tcW w:w="6674" w:type="dxa"/>
            <w:vAlign w:val="center"/>
          </w:tcPr>
          <w:p w14:paraId="1A71B12A">
            <w:pPr>
              <w:pStyle w:val="28"/>
              <w:snapToGrid w:val="0"/>
              <w:spacing w:line="360" w:lineRule="auto"/>
              <w:ind w:left="210" w:leftChars="100"/>
              <w:jc w:val="both"/>
              <w:rPr>
                <w:rFonts w:ascii="仿宋" w:hAnsi="Times New Roman" w:eastAsia="仿宋" w:cs="Times New Roman"/>
                <w:sz w:val="22"/>
                <w:szCs w:val="22"/>
              </w:rPr>
            </w:pPr>
            <w:r>
              <w:rPr>
                <w:rFonts w:hint="eastAsia" w:ascii="仿宋" w:hAnsi="Times New Roman" w:eastAsia="仿宋" w:cs="Times New Roman"/>
                <w:sz w:val="22"/>
                <w:szCs w:val="22"/>
              </w:rPr>
              <w:t>采购人在采购期间发出的一切澄清、修改均为谈判文件的有效组成部分。</w:t>
            </w:r>
          </w:p>
        </w:tc>
      </w:tr>
      <w:tr w14:paraId="1C2E10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55F6A11A">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49391A3D">
            <w:pPr>
              <w:autoSpaceDE w:val="0"/>
              <w:autoSpaceDN w:val="0"/>
              <w:adjustRightInd w:val="0"/>
              <w:snapToGrid w:val="0"/>
              <w:spacing w:line="360" w:lineRule="auto"/>
              <w:jc w:val="center"/>
              <w:rPr>
                <w:rFonts w:hint="eastAsia" w:ascii="仿宋" w:hAnsi="Times New Roman" w:eastAsia="仿宋" w:cs="Times New Roman"/>
                <w:sz w:val="22"/>
                <w:szCs w:val="22"/>
              </w:rPr>
            </w:pPr>
            <w:r>
              <w:rPr>
                <w:rFonts w:hint="eastAsia" w:ascii="仿宋" w:hAnsi="Times New Roman" w:eastAsia="仿宋" w:cs="Times New Roman"/>
                <w:kern w:val="0"/>
                <w:sz w:val="22"/>
              </w:rPr>
              <w:t>响应文件的澄清</w:t>
            </w:r>
          </w:p>
        </w:tc>
        <w:tc>
          <w:tcPr>
            <w:tcW w:w="6674" w:type="dxa"/>
            <w:vAlign w:val="center"/>
          </w:tcPr>
          <w:p w14:paraId="37F9B2B7">
            <w:pPr>
              <w:autoSpaceDE w:val="0"/>
              <w:autoSpaceDN w:val="0"/>
              <w:adjustRightInd w:val="0"/>
              <w:snapToGrid w:val="0"/>
              <w:spacing w:line="360" w:lineRule="auto"/>
              <w:ind w:left="210" w:leftChars="100"/>
              <w:jc w:val="both"/>
              <w:rPr>
                <w:rFonts w:hint="eastAsia" w:ascii="仿宋" w:hAnsi="Times New Roman" w:eastAsia="仿宋" w:cs="Times New Roman"/>
                <w:sz w:val="22"/>
                <w:szCs w:val="22"/>
              </w:rPr>
            </w:pPr>
            <w:r>
              <w:rPr>
                <w:rFonts w:hint="eastAsia" w:ascii="仿宋"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26FCFE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2B9A1BF1">
            <w:pPr>
              <w:pStyle w:val="27"/>
              <w:numPr>
                <w:ilvl w:val="0"/>
                <w:numId w:val="12"/>
              </w:numPr>
              <w:tabs>
                <w:tab w:val="left" w:pos="220"/>
              </w:tabs>
              <w:adjustRightInd w:val="0"/>
              <w:snapToGrid w:val="0"/>
              <w:rPr>
                <w:rFonts w:ascii="仿宋" w:hAnsi="仿宋" w:eastAsia="仿宋" w:cs="仿宋"/>
                <w:szCs w:val="21"/>
              </w:rPr>
            </w:pPr>
          </w:p>
        </w:tc>
        <w:tc>
          <w:tcPr>
            <w:tcW w:w="1194" w:type="dxa"/>
            <w:vAlign w:val="center"/>
          </w:tcPr>
          <w:p w14:paraId="71032AF2">
            <w:pPr>
              <w:pStyle w:val="28"/>
              <w:snapToGrid w:val="0"/>
              <w:spacing w:line="360" w:lineRule="auto"/>
              <w:jc w:val="center"/>
              <w:rPr>
                <w:rFonts w:ascii="Times New Roman" w:hAnsi="Times New Roman" w:eastAsia="仿宋" w:cs="Times New Roman"/>
                <w:sz w:val="22"/>
                <w:szCs w:val="22"/>
                <w:lang w:val="zh-CN"/>
              </w:rPr>
            </w:pPr>
            <w:r>
              <w:rPr>
                <w:rFonts w:hint="eastAsia" w:ascii="Times New Roman" w:hAnsi="Times New Roman" w:eastAsia="仿宋" w:cs="Times New Roman"/>
                <w:sz w:val="22"/>
                <w:szCs w:val="22"/>
              </w:rPr>
              <w:t>供应商质疑</w:t>
            </w:r>
          </w:p>
        </w:tc>
        <w:tc>
          <w:tcPr>
            <w:tcW w:w="6674" w:type="dxa"/>
            <w:vAlign w:val="center"/>
          </w:tcPr>
          <w:p w14:paraId="054E4211">
            <w:pPr>
              <w:pStyle w:val="28"/>
              <w:snapToGrid w:val="0"/>
              <w:spacing w:line="360" w:lineRule="auto"/>
              <w:ind w:left="210" w:leftChars="100"/>
              <w:jc w:val="both"/>
              <w:rPr>
                <w:rFonts w:hint="eastAsia" w:ascii="Times New Roman" w:hAnsi="Times New Roman" w:eastAsia="仿宋" w:cs="Times New Roman"/>
                <w:kern w:val="0"/>
                <w:sz w:val="22"/>
              </w:rPr>
            </w:pPr>
            <w:r>
              <w:rPr>
                <w:rFonts w:hint="eastAsia" w:ascii="Times New Roman" w:hAnsi="Times New Roman" w:eastAsia="仿宋" w:cs="Times New Roman"/>
                <w:kern w:val="0"/>
                <w:sz w:val="22"/>
              </w:rPr>
              <w:t>本项目供应商获取采购文件起3个工作日内、采购活动结束后1个工作日内、结果公告发布之日起1个工作日内通过书面形式线下提交；</w:t>
            </w:r>
          </w:p>
          <w:p w14:paraId="38AE618E">
            <w:pPr>
              <w:pStyle w:val="28"/>
              <w:snapToGrid w:val="0"/>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注：</w:t>
            </w:r>
          </w:p>
          <w:p w14:paraId="483E1BD2">
            <w:pPr>
              <w:pStyle w:val="28"/>
              <w:snapToGrid w:val="0"/>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1.供应商质疑不得超出采购文件、采购过程、采购结果的范围；</w:t>
            </w:r>
          </w:p>
          <w:p w14:paraId="72BA6D17">
            <w:pPr>
              <w:pStyle w:val="28"/>
              <w:snapToGrid w:val="0"/>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2.</w:t>
            </w:r>
            <w:r>
              <w:rPr>
                <w:rFonts w:ascii="Times New Roman" w:hAnsi="Times New Roman" w:eastAsia="仿宋" w:cs="Times New Roman"/>
                <w:sz w:val="22"/>
                <w:szCs w:val="22"/>
              </w:rPr>
              <w:t>供应商针对同一采购程序环节的质疑应一次性提出</w:t>
            </w:r>
            <w:r>
              <w:rPr>
                <w:rFonts w:hint="eastAsia" w:ascii="Times New Roman" w:hAnsi="Times New Roman" w:eastAsia="仿宋" w:cs="Times New Roman"/>
                <w:sz w:val="22"/>
                <w:szCs w:val="22"/>
              </w:rPr>
              <w:t>；</w:t>
            </w:r>
          </w:p>
          <w:p w14:paraId="2864EC54">
            <w:pPr>
              <w:pStyle w:val="28"/>
              <w:snapToGrid w:val="0"/>
              <w:spacing w:line="360" w:lineRule="auto"/>
              <w:ind w:left="210" w:leftChars="100"/>
              <w:jc w:val="both"/>
              <w:rPr>
                <w:rFonts w:ascii="Times New Roman" w:hAnsi="Times New Roman" w:eastAsia="仿宋" w:cs="Times New Roman"/>
                <w:sz w:val="22"/>
                <w:szCs w:val="22"/>
              </w:rPr>
            </w:pPr>
            <w:r>
              <w:rPr>
                <w:rFonts w:hint="eastAsia" w:ascii="Times New Roman" w:hAnsi="Times New Roman" w:eastAsia="仿宋" w:cs="Times New Roman"/>
                <w:sz w:val="22"/>
                <w:szCs w:val="22"/>
              </w:rPr>
              <w:t>3.质疑相关资料要求：</w:t>
            </w:r>
          </w:p>
          <w:p w14:paraId="29DE6BFA">
            <w:pPr>
              <w:snapToGrid w:val="0"/>
              <w:spacing w:line="360" w:lineRule="auto"/>
              <w:ind w:left="210" w:leftChars="100"/>
              <w:jc w:val="both"/>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1BE7887E">
            <w:pPr>
              <w:snapToGrid w:val="0"/>
              <w:spacing w:line="360" w:lineRule="auto"/>
              <w:ind w:left="210" w:leftChars="100"/>
              <w:jc w:val="both"/>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4ECBB55B">
            <w:pPr>
              <w:pStyle w:val="28"/>
              <w:snapToGrid w:val="0"/>
              <w:spacing w:line="360" w:lineRule="auto"/>
              <w:ind w:left="210" w:leftChars="100"/>
              <w:jc w:val="both"/>
              <w:rPr>
                <w:rFonts w:ascii="Times New Roman" w:hAnsi="Times New Roman" w:eastAsia="仿宋" w:cs="Times New Roman"/>
                <w:sz w:val="22"/>
                <w:szCs w:val="22"/>
              </w:rPr>
            </w:pPr>
            <w:r>
              <w:rPr>
                <w:rFonts w:hint="eastAsia" w:ascii="仿宋" w:hAnsi="仿宋" w:eastAsia="仿宋" w:cs="仿宋"/>
                <w:sz w:val="22"/>
              </w:rPr>
              <w:t>（3）签字盖章：质疑供应商为自然人的，由本人签字；供应商为法人或者其他组织的，由法定代表人、主要负责人，或者其授权代表签字或者盖章，并加盖公章。</w:t>
            </w:r>
          </w:p>
        </w:tc>
      </w:tr>
      <w:tr w14:paraId="58E7D43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572FFD5B">
            <w:pPr>
              <w:pStyle w:val="27"/>
              <w:numPr>
                <w:ilvl w:val="0"/>
                <w:numId w:val="12"/>
              </w:numPr>
              <w:tabs>
                <w:tab w:val="left" w:pos="220"/>
              </w:tabs>
              <w:adjustRightInd w:val="0"/>
              <w:snapToGrid w:val="0"/>
              <w:rPr>
                <w:rFonts w:ascii="仿宋" w:hAnsi="仿宋" w:eastAsia="仿宋" w:cs="仿宋"/>
                <w:szCs w:val="21"/>
              </w:rPr>
            </w:pPr>
          </w:p>
        </w:tc>
        <w:tc>
          <w:tcPr>
            <w:tcW w:w="1194" w:type="dxa"/>
            <w:vAlign w:val="center"/>
          </w:tcPr>
          <w:p w14:paraId="2A343D8D">
            <w:pPr>
              <w:pStyle w:val="28"/>
              <w:snapToGrid w:val="0"/>
              <w:spacing w:line="360" w:lineRule="auto"/>
              <w:jc w:val="center"/>
              <w:rPr>
                <w:rFonts w:ascii="Times New Roman" w:hAnsi="Times New Roman" w:eastAsia="仿宋" w:cs="Times New Roman"/>
                <w:sz w:val="22"/>
                <w:szCs w:val="22"/>
              </w:rPr>
            </w:pPr>
            <w:r>
              <w:rPr>
                <w:rFonts w:hint="eastAsia" w:ascii="Times New Roman" w:hAnsi="Times New Roman" w:eastAsia="仿宋" w:cs="Times New Roman"/>
                <w:sz w:val="22"/>
                <w:szCs w:val="22"/>
              </w:rPr>
              <w:t>成交公告及合同签订</w:t>
            </w:r>
          </w:p>
        </w:tc>
        <w:tc>
          <w:tcPr>
            <w:tcW w:w="6674" w:type="dxa"/>
            <w:vAlign w:val="center"/>
          </w:tcPr>
          <w:p w14:paraId="738D311F">
            <w:pPr>
              <w:pStyle w:val="28"/>
              <w:snapToGrid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1</w:t>
            </w:r>
            <w:r>
              <w:rPr>
                <w:rFonts w:hint="eastAsia" w:ascii="Times New Roman" w:hAnsi="Times New Roman" w:eastAsia="仿宋" w:cs="Times New Roman"/>
                <w:sz w:val="22"/>
                <w:szCs w:val="22"/>
                <w:lang w:val="zh-CN"/>
              </w:rPr>
              <w:t>）谈判完成后，采购人</w:t>
            </w:r>
            <w:r>
              <w:rPr>
                <w:rFonts w:hint="eastAsia" w:ascii="仿宋" w:hAnsi="仿宋" w:eastAsia="仿宋" w:cs="仿宋"/>
                <w:sz w:val="22"/>
                <w:szCs w:val="22"/>
                <w:lang w:val="zh-CN"/>
              </w:rPr>
              <w:t>发出</w:t>
            </w:r>
            <w:r>
              <w:rPr>
                <w:rFonts w:hint="eastAsia" w:ascii="仿宋" w:hAnsi="仿宋" w:eastAsia="仿宋" w:cs="仿宋"/>
                <w:sz w:val="22"/>
                <w:szCs w:val="22"/>
              </w:rPr>
              <w:t>成交</w:t>
            </w:r>
            <w:r>
              <w:rPr>
                <w:rFonts w:hint="eastAsia" w:ascii="仿宋" w:hAnsi="仿宋" w:eastAsia="仿宋" w:cs="仿宋"/>
                <w:sz w:val="22"/>
                <w:szCs w:val="22"/>
                <w:lang w:val="zh-CN"/>
              </w:rPr>
              <w:t>公告</w:t>
            </w:r>
            <w:r>
              <w:rPr>
                <w:rFonts w:hint="eastAsia" w:ascii="Times New Roman" w:hAnsi="Times New Roman" w:eastAsia="仿宋" w:cs="Times New Roman"/>
                <w:sz w:val="22"/>
                <w:szCs w:val="22"/>
                <w:lang w:val="zh-CN"/>
              </w:rPr>
              <w:t>；</w:t>
            </w:r>
          </w:p>
          <w:p w14:paraId="11C010AA">
            <w:pPr>
              <w:pStyle w:val="28"/>
              <w:snapToGrid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2</w:t>
            </w:r>
            <w:r>
              <w:rPr>
                <w:rFonts w:hint="eastAsia" w:ascii="Times New Roman" w:hAnsi="Times New Roman" w:eastAsia="仿宋" w:cs="Times New Roman"/>
                <w:sz w:val="22"/>
                <w:szCs w:val="22"/>
                <w:lang w:val="zh-CN"/>
              </w:rPr>
              <w:t>）请成交供应商在成交通知书发出一个工作日后，</w:t>
            </w:r>
            <w:r>
              <w:rPr>
                <w:rFonts w:hint="eastAsia" w:ascii="仿宋" w:hAnsi="仿宋" w:eastAsia="仿宋" w:cs="仿宋"/>
                <w:sz w:val="22"/>
                <w:szCs w:val="22"/>
                <w:lang w:val="zh-CN"/>
              </w:rPr>
              <w:t>联系主管部门。</w:t>
            </w:r>
          </w:p>
          <w:p w14:paraId="24C2054C">
            <w:pPr>
              <w:pStyle w:val="28"/>
              <w:snapToGrid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3</w:t>
            </w:r>
            <w:r>
              <w:rPr>
                <w:rFonts w:hint="eastAsia" w:ascii="Times New Roman" w:hAnsi="Times New Roman" w:eastAsia="仿宋" w:cs="Times New Roman"/>
                <w:sz w:val="22"/>
                <w:szCs w:val="22"/>
                <w:lang w:val="zh-CN"/>
              </w:rPr>
              <w:t>）</w:t>
            </w:r>
            <w:r>
              <w:rPr>
                <w:rFonts w:hint="eastAsia" w:ascii="Times New Roman" w:hAnsi="Times New Roman" w:eastAsia="仿宋" w:cs="Times New Roman"/>
                <w:sz w:val="22"/>
                <w:szCs w:val="22"/>
              </w:rPr>
              <w:t>成交供应商</w:t>
            </w:r>
            <w:r>
              <w:rPr>
                <w:rFonts w:hint="eastAsia" w:ascii="Times New Roman" w:hAnsi="Times New Roman" w:eastAsia="仿宋" w:cs="Times New Roman"/>
                <w:sz w:val="22"/>
                <w:szCs w:val="22"/>
                <w:lang w:val="zh-CN"/>
              </w:rPr>
              <w:t>应在</w:t>
            </w:r>
            <w:r>
              <w:rPr>
                <w:rFonts w:hint="eastAsia" w:ascii="Times New Roman" w:hAnsi="Times New Roman" w:eastAsia="仿宋" w:cs="Times New Roman"/>
                <w:sz w:val="22"/>
                <w:szCs w:val="22"/>
              </w:rPr>
              <w:t>成交公告</w:t>
            </w:r>
            <w:r>
              <w:rPr>
                <w:rFonts w:hint="eastAsia" w:ascii="Times New Roman" w:hAnsi="Times New Roman" w:eastAsia="仿宋" w:cs="Times New Roman"/>
                <w:sz w:val="22"/>
                <w:szCs w:val="22"/>
                <w:lang w:val="zh-CN"/>
              </w:rPr>
              <w:t>发出之日起三十日内与采购人签订采购合同。由于</w:t>
            </w:r>
            <w:r>
              <w:rPr>
                <w:rFonts w:hint="eastAsia" w:ascii="仿宋" w:hAnsi="仿宋" w:eastAsia="仿宋" w:cs="仿宋"/>
                <w:sz w:val="22"/>
                <w:szCs w:val="22"/>
              </w:rPr>
              <w:t>成交</w:t>
            </w:r>
            <w:r>
              <w:rPr>
                <w:rFonts w:hint="eastAsia" w:ascii="仿宋" w:hAnsi="仿宋" w:eastAsia="仿宋" w:cs="仿宋"/>
                <w:sz w:val="22"/>
                <w:szCs w:val="22"/>
                <w:lang w:val="zh-CN"/>
              </w:rPr>
              <w:t>供应商</w:t>
            </w:r>
            <w:r>
              <w:rPr>
                <w:rFonts w:hint="eastAsia" w:ascii="Times New Roman" w:hAnsi="Times New Roman" w:eastAsia="仿宋" w:cs="Times New Roman"/>
                <w:sz w:val="22"/>
                <w:szCs w:val="22"/>
                <w:lang w:val="zh-CN"/>
              </w:rPr>
              <w:t>的原因逾期未与采购人签订采购合同的，将视为放弃</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，取消其</w:t>
            </w:r>
            <w:r>
              <w:rPr>
                <w:rFonts w:hint="eastAsia" w:ascii="Times New Roman" w:hAnsi="Times New Roman" w:eastAsia="仿宋" w:cs="Times New Roman"/>
                <w:sz w:val="22"/>
                <w:szCs w:val="22"/>
              </w:rPr>
              <w:t>成交</w:t>
            </w:r>
            <w:r>
              <w:rPr>
                <w:rFonts w:hint="eastAsia" w:ascii="Times New Roman" w:hAnsi="Times New Roman" w:eastAsia="仿宋" w:cs="Times New Roman"/>
                <w:sz w:val="22"/>
                <w:szCs w:val="22"/>
                <w:lang w:val="zh-CN"/>
              </w:rPr>
              <w:t>资格并将按相关规定进行处理。</w:t>
            </w:r>
          </w:p>
          <w:p w14:paraId="468F653F">
            <w:pPr>
              <w:pStyle w:val="28"/>
              <w:snapToGrid w:val="0"/>
              <w:spacing w:line="360" w:lineRule="auto"/>
              <w:ind w:left="210" w:leftChars="100"/>
              <w:jc w:val="both"/>
              <w:rPr>
                <w:rFonts w:ascii="Times New Roman" w:hAnsi="Times New Roman" w:eastAsia="仿宋" w:cs="Times New Roman"/>
                <w:sz w:val="22"/>
                <w:szCs w:val="22"/>
                <w:lang w:val="zh-CN"/>
              </w:rPr>
            </w:pPr>
            <w:r>
              <w:rPr>
                <w:rFonts w:hint="eastAsia" w:ascii="Times New Roman" w:hAnsi="Times New Roman" w:eastAsia="仿宋" w:cs="Times New Roman"/>
                <w:bCs/>
                <w:sz w:val="22"/>
                <w:szCs w:val="22"/>
                <w:lang w:val="zh-CN"/>
              </w:rPr>
              <w:t>（</w:t>
            </w:r>
            <w:r>
              <w:rPr>
                <w:rFonts w:hint="eastAsia" w:ascii="Times New Roman" w:hAnsi="Times New Roman" w:eastAsia="仿宋" w:cs="Times New Roman"/>
                <w:bCs/>
                <w:sz w:val="22"/>
                <w:szCs w:val="22"/>
              </w:rPr>
              <w:t>4</w:t>
            </w:r>
            <w:r>
              <w:rPr>
                <w:rFonts w:hint="eastAsia" w:ascii="Times New Roman" w:hAnsi="Times New Roman" w:eastAsia="仿宋" w:cs="Times New Roman"/>
                <w:bCs/>
                <w:sz w:val="22"/>
                <w:szCs w:val="22"/>
                <w:lang w:val="zh-CN"/>
              </w:rPr>
              <w:t>）若成交供应商以非正当理由放弃成交，在3年内不</w:t>
            </w:r>
            <w:r>
              <w:rPr>
                <w:rFonts w:hint="eastAsia" w:ascii="Times New Roman" w:hAnsi="Times New Roman" w:eastAsia="仿宋" w:cs="Times New Roman"/>
                <w:bCs/>
                <w:sz w:val="22"/>
                <w:szCs w:val="22"/>
              </w:rPr>
              <w:t>得</w:t>
            </w:r>
            <w:r>
              <w:rPr>
                <w:rFonts w:hint="eastAsia" w:ascii="Times New Roman" w:hAnsi="Times New Roman" w:eastAsia="仿宋" w:cs="Times New Roman"/>
                <w:bCs/>
                <w:sz w:val="22"/>
                <w:szCs w:val="22"/>
                <w:lang w:val="zh-CN"/>
              </w:rPr>
              <w:t>参与本单位的</w:t>
            </w:r>
            <w:r>
              <w:rPr>
                <w:rFonts w:hint="eastAsia" w:ascii="Times New Roman" w:hAnsi="Times New Roman" w:eastAsia="仿宋" w:cs="Times New Roman"/>
                <w:bCs/>
                <w:sz w:val="22"/>
                <w:szCs w:val="22"/>
              </w:rPr>
              <w:t>投标</w:t>
            </w:r>
            <w:r>
              <w:rPr>
                <w:rFonts w:hint="eastAsia" w:ascii="Times New Roman" w:hAnsi="Times New Roman" w:eastAsia="仿宋" w:cs="Times New Roman"/>
                <w:bCs/>
                <w:sz w:val="22"/>
                <w:szCs w:val="22"/>
                <w:lang w:val="zh-CN"/>
              </w:rPr>
              <w:t>申请。</w:t>
            </w:r>
          </w:p>
        </w:tc>
      </w:tr>
      <w:tr w14:paraId="342BE39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714B5043">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58BD3D5E">
            <w:pPr>
              <w:autoSpaceDE w:val="0"/>
              <w:autoSpaceDN w:val="0"/>
              <w:adjustRightInd w:val="0"/>
              <w:snapToGrid w:val="0"/>
              <w:spacing w:line="360" w:lineRule="auto"/>
              <w:jc w:val="center"/>
              <w:rPr>
                <w:rFonts w:hint="eastAsia" w:ascii="仿宋" w:hAnsi="Times New Roman" w:eastAsia="仿宋" w:cs="Times New Roman"/>
                <w:sz w:val="22"/>
                <w:szCs w:val="22"/>
              </w:rPr>
            </w:pPr>
            <w:r>
              <w:rPr>
                <w:rFonts w:hint="eastAsia" w:ascii="仿宋" w:hAnsi="Times New Roman" w:eastAsia="仿宋" w:cs="Times New Roman"/>
                <w:kern w:val="0"/>
                <w:sz w:val="22"/>
              </w:rPr>
              <w:t>项目废标说明</w:t>
            </w:r>
          </w:p>
        </w:tc>
        <w:tc>
          <w:tcPr>
            <w:tcW w:w="6674" w:type="dxa"/>
            <w:vAlign w:val="center"/>
          </w:tcPr>
          <w:p w14:paraId="283C69D6">
            <w:pPr>
              <w:autoSpaceDE w:val="0"/>
              <w:autoSpaceDN w:val="0"/>
              <w:adjustRightInd w:val="0"/>
              <w:snapToGrid w:val="0"/>
              <w:spacing w:line="360" w:lineRule="auto"/>
              <w:ind w:left="210" w:leftChars="100"/>
              <w:jc w:val="both"/>
              <w:rPr>
                <w:rFonts w:ascii="仿宋" w:hAnsi="Times New Roman" w:eastAsia="仿宋" w:cs="Times New Roman"/>
                <w:kern w:val="0"/>
                <w:sz w:val="22"/>
                <w:lang w:val="zh-CN"/>
              </w:rPr>
            </w:pPr>
            <w:r>
              <w:rPr>
                <w:rFonts w:hint="eastAsia" w:ascii="仿宋" w:hAnsi="Times New Roman" w:eastAsia="仿宋" w:cs="Times New Roman"/>
                <w:kern w:val="0"/>
                <w:sz w:val="22"/>
                <w:lang w:val="zh-CN"/>
              </w:rPr>
              <w:t>出现下列情形之一的，采购人可对项目进行废标，废标后采购人可终止采购，也可重新开展采购活动：</w:t>
            </w:r>
          </w:p>
          <w:p w14:paraId="459FB00C">
            <w:pPr>
              <w:autoSpaceDE w:val="0"/>
              <w:autoSpaceDN w:val="0"/>
              <w:adjustRightInd w:val="0"/>
              <w:snapToGrid w:val="0"/>
              <w:spacing w:line="360" w:lineRule="auto"/>
              <w:ind w:left="210" w:leftChars="100"/>
              <w:jc w:val="both"/>
              <w:rPr>
                <w:rFonts w:ascii="仿宋" w:hAnsi="Times New Roman" w:eastAsia="仿宋" w:cs="Times New Roman"/>
                <w:kern w:val="0"/>
                <w:sz w:val="22"/>
                <w:lang w:val="zh-CN"/>
              </w:rPr>
            </w:pPr>
            <w:r>
              <w:rPr>
                <w:rFonts w:hint="eastAsia" w:ascii="仿宋" w:hAnsi="Times New Roman" w:eastAsia="仿宋" w:cs="Times New Roman"/>
                <w:kern w:val="0"/>
                <w:sz w:val="22"/>
                <w:lang w:val="zh-CN"/>
              </w:rPr>
              <w:t>（一）因项目发生重大改变，不适宜继续采购的；</w:t>
            </w:r>
          </w:p>
          <w:p w14:paraId="1CF335B7">
            <w:pPr>
              <w:autoSpaceDE w:val="0"/>
              <w:autoSpaceDN w:val="0"/>
              <w:adjustRightInd w:val="0"/>
              <w:snapToGrid w:val="0"/>
              <w:spacing w:line="360" w:lineRule="auto"/>
              <w:ind w:left="210" w:leftChars="100"/>
              <w:jc w:val="both"/>
              <w:rPr>
                <w:rFonts w:ascii="仿宋" w:hAnsi="Times New Roman" w:eastAsia="仿宋" w:cs="Times New Roman"/>
                <w:kern w:val="0"/>
                <w:sz w:val="22"/>
                <w:lang w:val="zh-CN"/>
              </w:rPr>
            </w:pPr>
            <w:r>
              <w:rPr>
                <w:rFonts w:hint="eastAsia" w:ascii="仿宋" w:hAnsi="Times New Roman" w:eastAsia="仿宋" w:cs="Times New Roman"/>
                <w:kern w:val="0"/>
                <w:sz w:val="22"/>
                <w:lang w:val="zh-CN"/>
              </w:rPr>
              <w:t>（二）由于采购文件有重大缺陷或歧义，无继续采购工作的；</w:t>
            </w:r>
          </w:p>
          <w:p w14:paraId="7AC40588">
            <w:pPr>
              <w:autoSpaceDE w:val="0"/>
              <w:autoSpaceDN w:val="0"/>
              <w:adjustRightInd w:val="0"/>
              <w:snapToGrid w:val="0"/>
              <w:spacing w:line="360" w:lineRule="auto"/>
              <w:ind w:left="210" w:leftChars="100"/>
              <w:jc w:val="both"/>
              <w:rPr>
                <w:rFonts w:ascii="仿宋" w:hAnsi="Times New Roman" w:eastAsia="仿宋" w:cs="Times New Roman"/>
                <w:kern w:val="0"/>
                <w:sz w:val="22"/>
                <w:lang w:val="zh-CN"/>
              </w:rPr>
            </w:pPr>
            <w:r>
              <w:rPr>
                <w:rFonts w:hint="eastAsia" w:ascii="仿宋" w:hAnsi="Times New Roman" w:eastAsia="仿宋" w:cs="Times New Roman"/>
                <w:kern w:val="0"/>
                <w:sz w:val="22"/>
                <w:lang w:val="zh-CN"/>
              </w:rPr>
              <w:t>（三）纪检部门对项目进行复核检查，发现有影响采购公正的违法违规行为的。</w:t>
            </w:r>
          </w:p>
          <w:p w14:paraId="7B6EE756">
            <w:pPr>
              <w:autoSpaceDE w:val="0"/>
              <w:autoSpaceDN w:val="0"/>
              <w:adjustRightInd w:val="0"/>
              <w:snapToGrid w:val="0"/>
              <w:spacing w:line="360" w:lineRule="auto"/>
              <w:ind w:left="210" w:leftChars="100"/>
              <w:jc w:val="both"/>
              <w:rPr>
                <w:rFonts w:ascii="仿宋" w:hAnsi="Times New Roman" w:eastAsia="仿宋" w:cs="Times New Roman"/>
                <w:kern w:val="0"/>
                <w:sz w:val="22"/>
                <w:lang w:val="zh-CN"/>
              </w:rPr>
            </w:pPr>
            <w:r>
              <w:rPr>
                <w:rFonts w:hint="eastAsia" w:ascii="仿宋" w:hAnsi="Times New Roman" w:eastAsia="仿宋" w:cs="Times New Roman"/>
                <w:kern w:val="0"/>
                <w:sz w:val="22"/>
                <w:lang w:val="zh-CN"/>
              </w:rPr>
              <w:t>（四）有质疑投诉成功并影响采购结果的。</w:t>
            </w:r>
          </w:p>
          <w:p w14:paraId="32E3BE27">
            <w:pPr>
              <w:autoSpaceDE w:val="0"/>
              <w:autoSpaceDN w:val="0"/>
              <w:adjustRightInd w:val="0"/>
              <w:snapToGrid w:val="0"/>
              <w:spacing w:line="360" w:lineRule="auto"/>
              <w:ind w:left="210" w:leftChars="100"/>
              <w:jc w:val="both"/>
              <w:rPr>
                <w:rFonts w:hint="eastAsia" w:ascii="仿宋" w:hAnsi="Times New Roman" w:eastAsia="仿宋" w:cs="Times New Roman"/>
                <w:bCs/>
                <w:sz w:val="22"/>
                <w:szCs w:val="22"/>
                <w:lang w:val="zh-CN"/>
              </w:rPr>
            </w:pPr>
            <w:r>
              <w:rPr>
                <w:rFonts w:hint="eastAsia" w:ascii="仿宋" w:hAnsi="Times New Roman" w:eastAsia="仿宋" w:cs="Times New Roman"/>
                <w:kern w:val="0"/>
                <w:sz w:val="22"/>
                <w:lang w:val="zh-CN"/>
              </w:rPr>
              <w:t>（五）其他不适宜继续进行采购活动的情形。</w:t>
            </w:r>
          </w:p>
        </w:tc>
      </w:tr>
      <w:tr w14:paraId="2E45C31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45" w:type="dxa"/>
            <w:left w:w="96" w:type="dxa"/>
            <w:bottom w:w="45" w:type="dxa"/>
            <w:right w:w="96" w:type="dxa"/>
          </w:tblCellMar>
        </w:tblPrEx>
        <w:trPr>
          <w:trHeight w:val="0" w:hRule="atLeast"/>
          <w:jc w:val="center"/>
        </w:trPr>
        <w:tc>
          <w:tcPr>
            <w:tcW w:w="752" w:type="dxa"/>
            <w:vAlign w:val="center"/>
          </w:tcPr>
          <w:p w14:paraId="57697D5A">
            <w:pPr>
              <w:pStyle w:val="27"/>
              <w:numPr>
                <w:ilvl w:val="0"/>
                <w:numId w:val="12"/>
              </w:numPr>
              <w:tabs>
                <w:tab w:val="left" w:pos="220"/>
              </w:tabs>
              <w:adjustRightInd w:val="0"/>
              <w:snapToGrid w:val="0"/>
              <w:jc w:val="left"/>
              <w:rPr>
                <w:rFonts w:ascii="仿宋" w:hAnsi="仿宋" w:eastAsia="仿宋" w:cs="仿宋"/>
                <w:sz w:val="22"/>
                <w:szCs w:val="21"/>
              </w:rPr>
            </w:pPr>
          </w:p>
        </w:tc>
        <w:tc>
          <w:tcPr>
            <w:tcW w:w="1194" w:type="dxa"/>
            <w:vAlign w:val="center"/>
          </w:tcPr>
          <w:p w14:paraId="314AEE4C">
            <w:pPr>
              <w:pStyle w:val="28"/>
              <w:snapToGrid w:val="0"/>
              <w:spacing w:line="360" w:lineRule="auto"/>
              <w:jc w:val="center"/>
              <w:rPr>
                <w:rFonts w:ascii="仿宋" w:hAnsi="Times New Roman" w:eastAsia="仿宋" w:cs="Times New Roman"/>
                <w:sz w:val="22"/>
                <w:szCs w:val="22"/>
              </w:rPr>
            </w:pPr>
            <w:r>
              <w:rPr>
                <w:rFonts w:hint="eastAsia" w:ascii="仿宋" w:hAnsi="Times New Roman" w:eastAsia="仿宋" w:cs="Times New Roman"/>
                <w:sz w:val="22"/>
                <w:szCs w:val="22"/>
              </w:rPr>
              <w:t>总体说明</w:t>
            </w:r>
          </w:p>
        </w:tc>
        <w:tc>
          <w:tcPr>
            <w:tcW w:w="6674" w:type="dxa"/>
            <w:vAlign w:val="center"/>
          </w:tcPr>
          <w:p w14:paraId="309F1361">
            <w:pPr>
              <w:pStyle w:val="28"/>
              <w:numPr>
                <w:ilvl w:val="0"/>
                <w:numId w:val="17"/>
              </w:numPr>
              <w:snapToGrid w:val="0"/>
              <w:spacing w:line="360" w:lineRule="auto"/>
              <w:ind w:left="0"/>
              <w:jc w:val="both"/>
              <w:rPr>
                <w:rFonts w:ascii="仿宋" w:hAnsi="Times New Roman" w:eastAsia="仿宋" w:cs="Times New Roman"/>
                <w:sz w:val="22"/>
                <w:szCs w:val="22"/>
                <w:lang w:val="zh-CN"/>
              </w:rPr>
            </w:pPr>
            <w:r>
              <w:rPr>
                <w:rFonts w:hint="eastAsia" w:ascii="仿宋" w:hAnsi="Times New Roman" w:eastAsia="仿宋" w:cs="Times New Roman"/>
                <w:sz w:val="22"/>
                <w:szCs w:val="22"/>
              </w:rPr>
              <w:t>谈判</w:t>
            </w:r>
            <w:r>
              <w:rPr>
                <w:rFonts w:hint="eastAsia" w:ascii="仿宋" w:hAnsi="Times New Roman" w:eastAsia="仿宋" w:cs="Times New Roman"/>
                <w:sz w:val="22"/>
                <w:szCs w:val="22"/>
                <w:lang w:val="zh-CN"/>
              </w:rPr>
              <w:t>产生的一切费用由供应商自行承担；</w:t>
            </w:r>
          </w:p>
          <w:p w14:paraId="5A31C6C1">
            <w:pPr>
              <w:pStyle w:val="28"/>
              <w:numPr>
                <w:ilvl w:val="0"/>
                <w:numId w:val="17"/>
              </w:numPr>
              <w:snapToGrid w:val="0"/>
              <w:spacing w:line="360" w:lineRule="auto"/>
              <w:ind w:left="0"/>
              <w:jc w:val="both"/>
              <w:rPr>
                <w:rFonts w:ascii="仿宋" w:hAnsi="Times New Roman" w:eastAsia="仿宋" w:cs="Times New Roman"/>
                <w:sz w:val="22"/>
                <w:szCs w:val="22"/>
                <w:lang w:val="zh-CN"/>
              </w:rPr>
            </w:pPr>
            <w:r>
              <w:rPr>
                <w:rFonts w:hint="eastAsia" w:ascii="仿宋" w:hAnsi="Times New Roman" w:eastAsia="仿宋" w:cs="Times New Roman"/>
                <w:sz w:val="22"/>
                <w:szCs w:val="22"/>
              </w:rPr>
              <w:t>本文件的第一章、第二章均为实质性要求，供应商应当符合；</w:t>
            </w:r>
          </w:p>
          <w:p w14:paraId="0480FFBC">
            <w:pPr>
              <w:pStyle w:val="28"/>
              <w:numPr>
                <w:ilvl w:val="0"/>
                <w:numId w:val="17"/>
              </w:numPr>
              <w:snapToGrid w:val="0"/>
              <w:spacing w:line="360" w:lineRule="auto"/>
              <w:ind w:left="0"/>
              <w:jc w:val="both"/>
              <w:rPr>
                <w:rFonts w:ascii="仿宋" w:hAnsi="Times New Roman" w:eastAsia="仿宋" w:cs="Times New Roman"/>
                <w:sz w:val="22"/>
                <w:szCs w:val="22"/>
              </w:rPr>
            </w:pPr>
            <w:r>
              <w:rPr>
                <w:rFonts w:hint="eastAsia" w:ascii="仿宋" w:hAnsi="Times New Roman" w:eastAsia="仿宋" w:cs="Times New Roman"/>
                <w:sz w:val="22"/>
                <w:szCs w:val="22"/>
              </w:rPr>
              <w:t>“采购人”系指本次组织谈判的绵阳市中心医院；</w:t>
            </w:r>
          </w:p>
          <w:p w14:paraId="39102200">
            <w:pPr>
              <w:pStyle w:val="28"/>
              <w:numPr>
                <w:ilvl w:val="0"/>
                <w:numId w:val="17"/>
              </w:numPr>
              <w:snapToGrid w:val="0"/>
              <w:spacing w:line="360" w:lineRule="auto"/>
              <w:ind w:left="0"/>
              <w:jc w:val="both"/>
              <w:rPr>
                <w:rFonts w:ascii="仿宋" w:hAnsi="Times New Roman" w:eastAsia="仿宋" w:cs="Times New Roman"/>
                <w:sz w:val="22"/>
                <w:szCs w:val="22"/>
              </w:rPr>
            </w:pPr>
            <w:r>
              <w:rPr>
                <w:rFonts w:hint="eastAsia" w:ascii="仿宋" w:hAnsi="Times New Roman" w:eastAsia="仿宋" w:cs="Times New Roman"/>
                <w:sz w:val="22"/>
                <w:szCs w:val="22"/>
              </w:rPr>
              <w:t>“供应商”“响应供应商”系获取了谈判文件拟参加谈判和向采购人提供货物及相应服务的供应商；</w:t>
            </w:r>
          </w:p>
          <w:p w14:paraId="175422B1">
            <w:pPr>
              <w:pStyle w:val="28"/>
              <w:numPr>
                <w:ilvl w:val="0"/>
                <w:numId w:val="17"/>
              </w:numPr>
              <w:snapToGrid w:val="0"/>
              <w:spacing w:line="360" w:lineRule="auto"/>
              <w:ind w:left="0"/>
              <w:jc w:val="both"/>
              <w:rPr>
                <w:rFonts w:ascii="仿宋" w:hAnsi="Times New Roman" w:eastAsia="仿宋" w:cs="Times New Roman"/>
                <w:sz w:val="22"/>
                <w:szCs w:val="22"/>
                <w:lang w:val="zh-CN"/>
              </w:rPr>
            </w:pPr>
            <w:r>
              <w:rPr>
                <w:rFonts w:hint="eastAsia" w:ascii="仿宋" w:hAnsi="Times New Roman" w:eastAsia="仿宋" w:cs="Times New Roman"/>
                <w:sz w:val="22"/>
                <w:szCs w:val="22"/>
                <w:lang w:val="zh-CN"/>
              </w:rPr>
              <w:t>若采购遇特殊情况，采购人有权终止采购项目；</w:t>
            </w:r>
          </w:p>
          <w:p w14:paraId="75A11564">
            <w:pPr>
              <w:pStyle w:val="28"/>
              <w:numPr>
                <w:ilvl w:val="0"/>
                <w:numId w:val="17"/>
              </w:numPr>
              <w:snapToGrid w:val="0"/>
              <w:spacing w:line="360" w:lineRule="auto"/>
              <w:ind w:left="0"/>
              <w:jc w:val="both"/>
              <w:rPr>
                <w:rFonts w:ascii="仿宋" w:hAnsi="Times New Roman" w:eastAsia="仿宋" w:cs="Times New Roman"/>
                <w:sz w:val="22"/>
                <w:szCs w:val="22"/>
                <w:lang w:val="zh-CN"/>
              </w:rPr>
            </w:pPr>
            <w:r>
              <w:rPr>
                <w:rFonts w:hint="eastAsia" w:ascii="仿宋" w:hAnsi="Times New Roman" w:eastAsia="仿宋" w:cs="Times New Roman"/>
                <w:sz w:val="22"/>
                <w:szCs w:val="22"/>
                <w:lang w:val="zh-CN"/>
              </w:rPr>
              <w:t>本采购项目由采购人纪委办公室监督管理。</w:t>
            </w:r>
          </w:p>
          <w:p w14:paraId="0460785B">
            <w:pPr>
              <w:pStyle w:val="28"/>
              <w:numPr>
                <w:ilvl w:val="0"/>
                <w:numId w:val="17"/>
              </w:numPr>
              <w:snapToGrid w:val="0"/>
              <w:spacing w:line="360" w:lineRule="auto"/>
              <w:ind w:left="0"/>
              <w:jc w:val="both"/>
              <w:rPr>
                <w:rFonts w:ascii="仿宋" w:hAnsi="Times New Roman" w:eastAsia="仿宋" w:cs="Times New Roman"/>
                <w:sz w:val="22"/>
                <w:szCs w:val="22"/>
                <w:lang w:val="zh-CN"/>
              </w:rPr>
            </w:pPr>
            <w:r>
              <w:rPr>
                <w:rFonts w:hint="eastAsia" w:ascii="仿宋" w:hAnsi="Times New Roman" w:eastAsia="仿宋" w:cs="Times New Roman"/>
                <w:sz w:val="22"/>
                <w:szCs w:val="22"/>
                <w:lang w:val="zh-CN"/>
              </w:rPr>
              <w:t>本谈判文件最终解释权归采购人所有。</w:t>
            </w:r>
          </w:p>
        </w:tc>
      </w:tr>
    </w:tbl>
    <w:p w14:paraId="5F7E471B">
      <w:r>
        <w:br w:type="page"/>
      </w:r>
    </w:p>
    <w:p w14:paraId="17DE714C">
      <w:pPr>
        <w:pStyle w:val="5"/>
        <w:numPr>
          <w:ilvl w:val="0"/>
          <w:numId w:val="0"/>
        </w:numPr>
        <w:ind w:left="402"/>
        <w:rPr>
          <w:rFonts w:ascii="黑体" w:hAnsi="黑体" w:cs="黑体"/>
          <w:szCs w:val="32"/>
        </w:rPr>
      </w:pPr>
      <w:bookmarkStart w:id="4" w:name="_Toc5431"/>
      <w:bookmarkStart w:id="5" w:name="_Toc19400"/>
      <w:bookmarkStart w:id="6" w:name="_Toc28050"/>
      <w:r>
        <w:rPr>
          <w:rFonts w:hint="eastAsia"/>
        </w:rPr>
        <w:t xml:space="preserve">第三章 </w:t>
      </w:r>
      <w:r>
        <w:t xml:space="preserve"> </w:t>
      </w:r>
      <w:r>
        <w:rPr>
          <w:rFonts w:hint="eastAsia"/>
        </w:rPr>
        <w:t>供应商资格审查及符合性审查</w:t>
      </w:r>
      <w:bookmarkEnd w:id="4"/>
      <w:bookmarkEnd w:id="5"/>
      <w:bookmarkEnd w:id="6"/>
    </w:p>
    <w:tbl>
      <w:tblPr>
        <w:tblStyle w:val="19"/>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12B4B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6DA6B4F8">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3826B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4F604FCD">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07B02B14">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645CFE22">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5F58DF4E">
            <w:pPr>
              <w:widowControl/>
              <w:jc w:val="center"/>
              <w:rPr>
                <w:rFonts w:ascii="仿宋" w:hAnsi="仿宋" w:eastAsia="仿宋" w:cs="仿宋"/>
                <w:b/>
                <w:bCs/>
                <w:sz w:val="22"/>
              </w:rPr>
            </w:pPr>
            <w:r>
              <w:rPr>
                <w:rFonts w:hint="eastAsia" w:ascii="仿宋" w:hAnsi="仿宋" w:eastAsia="仿宋" w:cs="仿宋"/>
                <w:b/>
                <w:bCs/>
                <w:sz w:val="22"/>
              </w:rPr>
              <w:t>结论</w:t>
            </w:r>
          </w:p>
        </w:tc>
      </w:tr>
      <w:tr w14:paraId="1CFB0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3709D2C2">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3A8A039E">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39DC16A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6F37048B">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72293946">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4C78E69C">
            <w:r>
              <w:rPr>
                <w:rFonts w:hint="eastAsia" w:ascii="仿宋" w:hAnsi="仿宋" w:eastAsia="仿宋" w:cs="仿宋"/>
              </w:rPr>
              <w:t>（4）若为自然人：提供“身份证明材料”</w:t>
            </w:r>
          </w:p>
        </w:tc>
        <w:tc>
          <w:tcPr>
            <w:tcW w:w="902" w:type="dxa"/>
            <w:vAlign w:val="center"/>
          </w:tcPr>
          <w:p w14:paraId="76D293A5">
            <w:pPr>
              <w:widowControl/>
              <w:jc w:val="left"/>
              <w:rPr>
                <w:rFonts w:ascii="仿宋" w:hAnsi="仿宋" w:eastAsia="仿宋" w:cs="仿宋"/>
                <w:bCs/>
                <w:kern w:val="0"/>
                <w:sz w:val="22"/>
              </w:rPr>
            </w:pPr>
          </w:p>
        </w:tc>
      </w:tr>
      <w:tr w14:paraId="223DF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4E8084A">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591CD68E">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5EBDC129">
            <w:pPr>
              <w:jc w:val="center"/>
              <w:rPr>
                <w:rFonts w:ascii="仿宋" w:hAnsi="仿宋" w:eastAsia="仿宋" w:cs="仿宋"/>
                <w:sz w:val="22"/>
              </w:rPr>
            </w:pPr>
            <w:r>
              <w:rPr>
                <w:rFonts w:hint="eastAsia" w:ascii="仿宋" w:hAnsi="仿宋" w:eastAsia="仿宋" w:cs="仿宋"/>
                <w:sz w:val="22"/>
              </w:rPr>
              <w:t>统一提供承诺函（格式自拟））</w:t>
            </w:r>
          </w:p>
          <w:p w14:paraId="5D2DBB93">
            <w:pPr>
              <w:rPr>
                <w:rFonts w:ascii="仿宋" w:hAnsi="仿宋" w:eastAsia="仿宋" w:cs="仿宋"/>
                <w:sz w:val="22"/>
              </w:rPr>
            </w:pPr>
          </w:p>
        </w:tc>
        <w:tc>
          <w:tcPr>
            <w:tcW w:w="902" w:type="dxa"/>
            <w:vAlign w:val="center"/>
          </w:tcPr>
          <w:p w14:paraId="68CE19EC">
            <w:pPr>
              <w:jc w:val="left"/>
              <w:rPr>
                <w:rFonts w:ascii="仿宋" w:hAnsi="仿宋" w:eastAsia="仿宋" w:cs="仿宋"/>
                <w:bCs/>
                <w:kern w:val="0"/>
                <w:sz w:val="22"/>
              </w:rPr>
            </w:pPr>
          </w:p>
        </w:tc>
      </w:tr>
      <w:tr w14:paraId="470EA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596308B0">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20BE7721">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21EF7AC5">
            <w:pPr>
              <w:jc w:val="center"/>
              <w:rPr>
                <w:rFonts w:ascii="仿宋" w:hAnsi="仿宋" w:eastAsia="仿宋" w:cs="仿宋"/>
                <w:sz w:val="22"/>
              </w:rPr>
            </w:pPr>
            <w:r>
              <w:rPr>
                <w:rFonts w:hint="eastAsia" w:ascii="仿宋" w:hAnsi="仿宋" w:eastAsia="仿宋" w:cs="仿宋"/>
                <w:sz w:val="22"/>
              </w:rPr>
              <w:t>统一提供承诺函</w:t>
            </w:r>
          </w:p>
          <w:p w14:paraId="375F1EB7">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76A4F91C">
            <w:pPr>
              <w:jc w:val="left"/>
              <w:rPr>
                <w:rFonts w:ascii="仿宋" w:hAnsi="仿宋" w:eastAsia="仿宋" w:cs="仿宋"/>
                <w:bCs/>
                <w:kern w:val="0"/>
                <w:sz w:val="22"/>
              </w:rPr>
            </w:pPr>
          </w:p>
        </w:tc>
      </w:tr>
      <w:tr w14:paraId="35055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AFA92D5">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5765DDB3">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0EF9D680">
            <w:pPr>
              <w:rPr>
                <w:rFonts w:ascii="仿宋" w:hAnsi="仿宋" w:eastAsia="仿宋" w:cs="仿宋"/>
                <w:sz w:val="22"/>
              </w:rPr>
            </w:pPr>
          </w:p>
        </w:tc>
        <w:tc>
          <w:tcPr>
            <w:tcW w:w="902" w:type="dxa"/>
            <w:vMerge w:val="continue"/>
            <w:vAlign w:val="center"/>
          </w:tcPr>
          <w:p w14:paraId="12042347">
            <w:pPr>
              <w:jc w:val="left"/>
              <w:rPr>
                <w:rFonts w:ascii="仿宋" w:hAnsi="仿宋" w:eastAsia="仿宋" w:cs="仿宋"/>
                <w:bCs/>
                <w:kern w:val="0"/>
                <w:sz w:val="22"/>
              </w:rPr>
            </w:pPr>
          </w:p>
        </w:tc>
      </w:tr>
      <w:tr w14:paraId="0EA59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04E5C64E">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16EED899">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5C9A5D6F">
            <w:pPr>
              <w:rPr>
                <w:rFonts w:ascii="仿宋" w:hAnsi="仿宋" w:eastAsia="仿宋" w:cs="仿宋"/>
                <w:sz w:val="22"/>
              </w:rPr>
            </w:pPr>
          </w:p>
        </w:tc>
        <w:tc>
          <w:tcPr>
            <w:tcW w:w="902" w:type="dxa"/>
            <w:vMerge w:val="continue"/>
            <w:vAlign w:val="center"/>
          </w:tcPr>
          <w:p w14:paraId="5AC0DBD8">
            <w:pPr>
              <w:jc w:val="left"/>
              <w:rPr>
                <w:rFonts w:ascii="仿宋" w:hAnsi="仿宋" w:eastAsia="仿宋" w:cs="仿宋"/>
                <w:bCs/>
                <w:kern w:val="0"/>
                <w:sz w:val="22"/>
              </w:rPr>
            </w:pPr>
          </w:p>
        </w:tc>
      </w:tr>
      <w:tr w14:paraId="572B5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023FB1B">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7976C1CE">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55C781D3">
            <w:pPr>
              <w:rPr>
                <w:rFonts w:ascii="仿宋" w:hAnsi="仿宋" w:eastAsia="仿宋" w:cs="仿宋"/>
                <w:sz w:val="22"/>
              </w:rPr>
            </w:pPr>
          </w:p>
        </w:tc>
        <w:tc>
          <w:tcPr>
            <w:tcW w:w="902" w:type="dxa"/>
            <w:vMerge w:val="continue"/>
            <w:vAlign w:val="center"/>
          </w:tcPr>
          <w:p w14:paraId="6A8408C6">
            <w:pPr>
              <w:jc w:val="left"/>
              <w:rPr>
                <w:rFonts w:ascii="仿宋" w:hAnsi="仿宋" w:eastAsia="仿宋" w:cs="仿宋"/>
                <w:bCs/>
                <w:kern w:val="0"/>
                <w:sz w:val="22"/>
              </w:rPr>
            </w:pPr>
          </w:p>
        </w:tc>
      </w:tr>
      <w:tr w14:paraId="1A7CE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C735DA0">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21EDE9CA">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71843571">
            <w:pPr>
              <w:rPr>
                <w:rFonts w:ascii="仿宋" w:hAnsi="仿宋" w:eastAsia="仿宋" w:cs="仿宋"/>
                <w:sz w:val="22"/>
              </w:rPr>
            </w:pPr>
          </w:p>
        </w:tc>
        <w:tc>
          <w:tcPr>
            <w:tcW w:w="902" w:type="dxa"/>
            <w:vMerge w:val="continue"/>
            <w:vAlign w:val="center"/>
          </w:tcPr>
          <w:p w14:paraId="6BC6DB98">
            <w:pPr>
              <w:jc w:val="left"/>
              <w:rPr>
                <w:rFonts w:ascii="仿宋" w:hAnsi="仿宋" w:eastAsia="仿宋" w:cs="仿宋"/>
                <w:bCs/>
                <w:kern w:val="0"/>
                <w:sz w:val="22"/>
              </w:rPr>
            </w:pPr>
          </w:p>
        </w:tc>
      </w:tr>
      <w:tr w14:paraId="7CF56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22FF0AD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3F896CF3">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34418490">
            <w:pPr>
              <w:rPr>
                <w:rFonts w:ascii="仿宋" w:hAnsi="仿宋" w:eastAsia="仿宋" w:cs="仿宋"/>
                <w:sz w:val="22"/>
              </w:rPr>
            </w:pPr>
          </w:p>
        </w:tc>
        <w:tc>
          <w:tcPr>
            <w:tcW w:w="902" w:type="dxa"/>
            <w:vMerge w:val="continue"/>
            <w:vAlign w:val="center"/>
          </w:tcPr>
          <w:p w14:paraId="617E23CB">
            <w:pPr>
              <w:jc w:val="left"/>
              <w:rPr>
                <w:rFonts w:ascii="仿宋" w:hAnsi="仿宋" w:eastAsia="仿宋" w:cs="仿宋"/>
                <w:bCs/>
                <w:kern w:val="0"/>
                <w:sz w:val="22"/>
              </w:rPr>
            </w:pPr>
          </w:p>
        </w:tc>
      </w:tr>
      <w:tr w14:paraId="7016B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48B07BE0">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6821E7BC">
            <w:pPr>
              <w:widowControl/>
              <w:rPr>
                <w:rFonts w:ascii="仿宋" w:hAnsi="仿宋" w:eastAsia="仿宋" w:cs="仿宋"/>
                <w:b/>
                <w:bCs/>
                <w:sz w:val="30"/>
                <w:szCs w:val="30"/>
              </w:rPr>
            </w:pPr>
            <w:r>
              <w:rPr>
                <w:rFonts w:hint="eastAsia" w:ascii="仿宋" w:hAnsi="仿宋" w:eastAsia="仿宋" w:cs="仿宋"/>
                <w:b/>
                <w:bCs/>
                <w:sz w:val="30"/>
                <w:szCs w:val="30"/>
              </w:rPr>
              <w:t>其它资格条件：</w:t>
            </w:r>
          </w:p>
        </w:tc>
        <w:tc>
          <w:tcPr>
            <w:tcW w:w="4398" w:type="dxa"/>
            <w:vAlign w:val="center"/>
          </w:tcPr>
          <w:p w14:paraId="4726E4B2">
            <w:pPr>
              <w:jc w:val="left"/>
              <w:rPr>
                <w:rFonts w:ascii="仿宋" w:hAnsi="仿宋" w:eastAsia="仿宋" w:cs="仿宋"/>
                <w:sz w:val="22"/>
              </w:rPr>
            </w:pPr>
          </w:p>
        </w:tc>
        <w:tc>
          <w:tcPr>
            <w:tcW w:w="902" w:type="dxa"/>
            <w:vAlign w:val="center"/>
          </w:tcPr>
          <w:p w14:paraId="2980777A">
            <w:pPr>
              <w:jc w:val="left"/>
              <w:rPr>
                <w:rFonts w:ascii="仿宋" w:hAnsi="仿宋" w:eastAsia="仿宋" w:cs="仿宋"/>
                <w:bCs/>
                <w:kern w:val="0"/>
                <w:sz w:val="22"/>
              </w:rPr>
            </w:pPr>
          </w:p>
        </w:tc>
      </w:tr>
    </w:tbl>
    <w:p w14:paraId="18FD2041"/>
    <w:p w14:paraId="1E1B68C8">
      <w:pPr>
        <w:pStyle w:val="26"/>
      </w:pPr>
    </w:p>
    <w:p w14:paraId="04A45E7C">
      <w:pPr>
        <w:pStyle w:val="26"/>
      </w:pPr>
    </w:p>
    <w:tbl>
      <w:tblPr>
        <w:tblStyle w:val="19"/>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055"/>
        <w:gridCol w:w="4867"/>
        <w:gridCol w:w="902"/>
      </w:tblGrid>
      <w:tr w14:paraId="03273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8A50432">
            <w:pPr>
              <w:widowControl/>
              <w:jc w:val="center"/>
              <w:rPr>
                <w:rFonts w:ascii="仿宋" w:hAnsi="仿宋" w:eastAsia="仿宋" w:cs="仿宋"/>
                <w:b/>
                <w:bCs/>
                <w:sz w:val="22"/>
              </w:rPr>
            </w:pPr>
            <w:r>
              <w:rPr>
                <w:rFonts w:hint="eastAsia" w:ascii="仿宋" w:hAnsi="仿宋" w:eastAsia="仿宋" w:cs="仿宋"/>
                <w:b/>
                <w:bCs/>
                <w:sz w:val="28"/>
                <w:szCs w:val="28"/>
              </w:rPr>
              <w:t>符合性审查</w:t>
            </w:r>
          </w:p>
        </w:tc>
      </w:tr>
      <w:tr w14:paraId="42FDC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6BA460C6">
            <w:pPr>
              <w:widowControl/>
              <w:jc w:val="center"/>
              <w:rPr>
                <w:rFonts w:ascii="仿宋" w:hAnsi="仿宋" w:eastAsia="仿宋" w:cs="仿宋"/>
                <w:b/>
                <w:bCs/>
                <w:sz w:val="22"/>
              </w:rPr>
            </w:pPr>
            <w:r>
              <w:rPr>
                <w:rFonts w:hint="eastAsia" w:ascii="仿宋" w:hAnsi="仿宋" w:eastAsia="仿宋" w:cs="仿宋"/>
                <w:b/>
                <w:bCs/>
                <w:sz w:val="22"/>
              </w:rPr>
              <w:t>序号</w:t>
            </w:r>
          </w:p>
        </w:tc>
        <w:tc>
          <w:tcPr>
            <w:tcW w:w="2055" w:type="dxa"/>
            <w:vAlign w:val="center"/>
          </w:tcPr>
          <w:p w14:paraId="30DB485B">
            <w:pPr>
              <w:widowControl/>
              <w:jc w:val="center"/>
              <w:rPr>
                <w:rFonts w:ascii="仿宋" w:hAnsi="仿宋" w:eastAsia="仿宋" w:cs="仿宋"/>
                <w:b/>
                <w:bCs/>
                <w:sz w:val="22"/>
              </w:rPr>
            </w:pPr>
            <w:r>
              <w:rPr>
                <w:rFonts w:hint="eastAsia" w:ascii="仿宋" w:hAnsi="仿宋" w:eastAsia="仿宋" w:cs="仿宋"/>
                <w:b/>
                <w:bCs/>
                <w:sz w:val="22"/>
              </w:rPr>
              <w:t>符合性审查项</w:t>
            </w:r>
          </w:p>
        </w:tc>
        <w:tc>
          <w:tcPr>
            <w:tcW w:w="4867" w:type="dxa"/>
            <w:vAlign w:val="center"/>
          </w:tcPr>
          <w:p w14:paraId="1252CB96">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9FF57AD">
            <w:pPr>
              <w:widowControl/>
              <w:jc w:val="center"/>
              <w:rPr>
                <w:rFonts w:ascii="仿宋" w:hAnsi="仿宋" w:eastAsia="仿宋" w:cs="仿宋"/>
                <w:b/>
                <w:bCs/>
                <w:sz w:val="22"/>
              </w:rPr>
            </w:pPr>
            <w:r>
              <w:rPr>
                <w:rFonts w:hint="eastAsia" w:ascii="仿宋" w:hAnsi="仿宋" w:eastAsia="仿宋" w:cs="仿宋"/>
                <w:b/>
                <w:bCs/>
                <w:sz w:val="22"/>
              </w:rPr>
              <w:t>结论</w:t>
            </w:r>
          </w:p>
        </w:tc>
      </w:tr>
      <w:tr w14:paraId="49C25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1" w:hRule="atLeast"/>
          <w:jc w:val="center"/>
        </w:trPr>
        <w:tc>
          <w:tcPr>
            <w:tcW w:w="796" w:type="dxa"/>
            <w:vAlign w:val="center"/>
          </w:tcPr>
          <w:p w14:paraId="5C4355DC">
            <w:pPr>
              <w:jc w:val="center"/>
              <w:rPr>
                <w:rFonts w:ascii="仿宋" w:hAnsi="仿宋" w:eastAsia="仿宋" w:cs="仿宋"/>
                <w:sz w:val="22"/>
              </w:rPr>
            </w:pPr>
            <w:r>
              <w:rPr>
                <w:rFonts w:hint="eastAsia" w:ascii="仿宋" w:hAnsi="仿宋" w:eastAsia="仿宋" w:cs="仿宋"/>
                <w:sz w:val="22"/>
              </w:rPr>
              <w:t>1</w:t>
            </w:r>
          </w:p>
        </w:tc>
        <w:tc>
          <w:tcPr>
            <w:tcW w:w="2055" w:type="dxa"/>
            <w:vAlign w:val="center"/>
          </w:tcPr>
          <w:p w14:paraId="1850E286">
            <w:pPr>
              <w:jc w:val="center"/>
              <w:rPr>
                <w:rFonts w:ascii="仿宋" w:hAnsi="仿宋" w:eastAsia="仿宋" w:cs="仿宋"/>
                <w:b/>
                <w:sz w:val="22"/>
              </w:rPr>
            </w:pPr>
            <w:r>
              <w:rPr>
                <w:rFonts w:hint="eastAsia" w:ascii="等线" w:hAnsi="等线" w:eastAsia="仿宋"/>
                <w:b/>
                <w:sz w:val="22"/>
              </w:rPr>
              <w:t>法定代表人身份证明书或法定代表人授权委托书</w:t>
            </w:r>
          </w:p>
        </w:tc>
        <w:tc>
          <w:tcPr>
            <w:tcW w:w="4867" w:type="dxa"/>
            <w:vAlign w:val="center"/>
          </w:tcPr>
          <w:p w14:paraId="359CCA59">
            <w:pPr>
              <w:rPr>
                <w:rFonts w:ascii="仿宋" w:hAnsi="仿宋" w:eastAsia="仿宋" w:cs="仿宋"/>
                <w:sz w:val="22"/>
              </w:rPr>
            </w:pPr>
            <w:r>
              <w:rPr>
                <w:rFonts w:hint="eastAsia" w:ascii="仿宋" w:hAnsi="仿宋" w:eastAsia="仿宋" w:cs="仿宋"/>
                <w:sz w:val="22"/>
              </w:rPr>
              <w:t>（1）法定代表人参与：提供法定代表人身份证明书及其身份证复印件加盖公章。</w:t>
            </w:r>
          </w:p>
          <w:p w14:paraId="49D736F9">
            <w:pPr>
              <w:rPr>
                <w:rFonts w:ascii="仿宋" w:hAnsi="仿宋" w:eastAsia="仿宋" w:cs="仿宋"/>
                <w:sz w:val="22"/>
              </w:rPr>
            </w:pPr>
            <w:r>
              <w:rPr>
                <w:rFonts w:hint="eastAsia" w:ascii="仿宋" w:hAnsi="仿宋" w:eastAsia="仿宋" w:cs="仿宋"/>
                <w:sz w:val="22"/>
              </w:rPr>
              <w:t>（2）授权代表参与：提供法定代表人授权委托书以及法定代表人和授权代表的身份证复印件加盖公章。</w:t>
            </w:r>
          </w:p>
          <w:p w14:paraId="7060C99C">
            <w:pPr>
              <w:rPr>
                <w:rFonts w:ascii="仿宋" w:hAnsi="仿宋" w:eastAsia="仿宋" w:cs="仿宋"/>
                <w:sz w:val="22"/>
              </w:rPr>
            </w:pPr>
            <w:r>
              <w:rPr>
                <w:rFonts w:hint="eastAsia" w:ascii="仿宋" w:hAnsi="仿宋" w:eastAsia="仿宋" w:cs="仿宋"/>
                <w:sz w:val="22"/>
              </w:rPr>
              <w:t>注：格式见第六章“法定代表人身份证明书”以及法定代表人授权委托。</w:t>
            </w:r>
          </w:p>
        </w:tc>
        <w:tc>
          <w:tcPr>
            <w:tcW w:w="902" w:type="dxa"/>
            <w:vAlign w:val="center"/>
          </w:tcPr>
          <w:p w14:paraId="68AB70D0">
            <w:pPr>
              <w:widowControl/>
              <w:jc w:val="left"/>
              <w:rPr>
                <w:rFonts w:ascii="仿宋" w:hAnsi="仿宋" w:eastAsia="仿宋" w:cs="仿宋"/>
                <w:bCs/>
                <w:kern w:val="0"/>
                <w:sz w:val="22"/>
              </w:rPr>
            </w:pPr>
          </w:p>
        </w:tc>
      </w:tr>
      <w:tr w14:paraId="3DFC2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jc w:val="center"/>
        </w:trPr>
        <w:tc>
          <w:tcPr>
            <w:tcW w:w="796" w:type="dxa"/>
            <w:vAlign w:val="center"/>
          </w:tcPr>
          <w:p w14:paraId="1AE4CC5D">
            <w:pPr>
              <w:jc w:val="center"/>
              <w:rPr>
                <w:rFonts w:ascii="仿宋" w:hAnsi="仿宋" w:eastAsia="仿宋" w:cs="仿宋"/>
                <w:sz w:val="22"/>
              </w:rPr>
            </w:pPr>
            <w:r>
              <w:rPr>
                <w:rFonts w:hint="eastAsia" w:ascii="仿宋" w:hAnsi="仿宋" w:eastAsia="仿宋" w:cs="仿宋"/>
                <w:sz w:val="22"/>
              </w:rPr>
              <w:t>2</w:t>
            </w:r>
          </w:p>
        </w:tc>
        <w:tc>
          <w:tcPr>
            <w:tcW w:w="2055" w:type="dxa"/>
            <w:vAlign w:val="center"/>
          </w:tcPr>
          <w:p w14:paraId="61DB7540">
            <w:pPr>
              <w:jc w:val="center"/>
              <w:rPr>
                <w:rFonts w:ascii="等线" w:hAnsi="等线" w:eastAsia="仿宋"/>
                <w:b/>
                <w:sz w:val="22"/>
              </w:rPr>
            </w:pPr>
            <w:r>
              <w:rPr>
                <w:rFonts w:hint="eastAsia" w:ascii="等线" w:hAnsi="等线" w:eastAsia="仿宋"/>
                <w:b/>
                <w:sz w:val="22"/>
              </w:rPr>
              <w:t>谈判文件中实质性要求</w:t>
            </w:r>
          </w:p>
        </w:tc>
        <w:tc>
          <w:tcPr>
            <w:tcW w:w="4867" w:type="dxa"/>
            <w:vAlign w:val="center"/>
          </w:tcPr>
          <w:p w14:paraId="5F92688E">
            <w:pPr>
              <w:rPr>
                <w:rFonts w:ascii="仿宋" w:hAnsi="仿宋" w:eastAsia="仿宋" w:cs="仿宋"/>
                <w:sz w:val="22"/>
              </w:rPr>
            </w:pPr>
            <w:r>
              <w:rPr>
                <w:rFonts w:hint="eastAsia" w:ascii="仿宋" w:hAnsi="仿宋" w:eastAsia="仿宋" w:cs="仿宋"/>
                <w:sz w:val="22"/>
              </w:rPr>
              <w:t>供应商符合第三章“</w:t>
            </w:r>
            <w:r>
              <w:rPr>
                <w:rFonts w:hint="eastAsia" w:ascii="仿宋" w:hAnsi="仿宋" w:eastAsia="仿宋" w:cs="仿宋"/>
                <w:b/>
                <w:bCs/>
                <w:sz w:val="24"/>
                <w:szCs w:val="24"/>
              </w:rPr>
              <w:t>★</w:t>
            </w:r>
            <w:r>
              <w:rPr>
                <w:rFonts w:hint="eastAsia" w:ascii="仿宋" w:hAnsi="仿宋" w:eastAsia="仿宋" w:cs="仿宋"/>
                <w:sz w:val="22"/>
              </w:rPr>
              <w:t xml:space="preserve">”的条款 </w:t>
            </w:r>
          </w:p>
        </w:tc>
        <w:tc>
          <w:tcPr>
            <w:tcW w:w="902" w:type="dxa"/>
            <w:vAlign w:val="center"/>
          </w:tcPr>
          <w:p w14:paraId="3C0055A4">
            <w:pPr>
              <w:widowControl/>
              <w:jc w:val="left"/>
              <w:rPr>
                <w:rFonts w:ascii="仿宋" w:hAnsi="仿宋" w:eastAsia="仿宋" w:cs="仿宋"/>
                <w:bCs/>
                <w:kern w:val="0"/>
                <w:sz w:val="22"/>
              </w:rPr>
            </w:pPr>
          </w:p>
        </w:tc>
      </w:tr>
      <w:tr w14:paraId="6467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jc w:val="center"/>
        </w:trPr>
        <w:tc>
          <w:tcPr>
            <w:tcW w:w="796" w:type="dxa"/>
            <w:vAlign w:val="center"/>
          </w:tcPr>
          <w:p w14:paraId="374FC460">
            <w:pPr>
              <w:jc w:val="center"/>
              <w:rPr>
                <w:rFonts w:ascii="仿宋" w:hAnsi="仿宋" w:eastAsia="仿宋" w:cs="仿宋"/>
                <w:sz w:val="22"/>
              </w:rPr>
            </w:pPr>
            <w:r>
              <w:rPr>
                <w:rFonts w:hint="eastAsia" w:ascii="仿宋" w:hAnsi="仿宋" w:eastAsia="仿宋" w:cs="仿宋"/>
                <w:sz w:val="22"/>
              </w:rPr>
              <w:t>3</w:t>
            </w:r>
          </w:p>
        </w:tc>
        <w:tc>
          <w:tcPr>
            <w:tcW w:w="2055" w:type="dxa"/>
            <w:vAlign w:val="center"/>
          </w:tcPr>
          <w:p w14:paraId="7738FA21">
            <w:pPr>
              <w:jc w:val="center"/>
              <w:rPr>
                <w:rFonts w:ascii="等线" w:hAnsi="等线" w:eastAsia="仿宋"/>
                <w:b/>
                <w:sz w:val="22"/>
              </w:rPr>
            </w:pPr>
            <w:r>
              <w:rPr>
                <w:rFonts w:hint="eastAsia" w:ascii="等线" w:hAnsi="等线" w:eastAsia="仿宋"/>
                <w:b/>
                <w:sz w:val="22"/>
              </w:rPr>
              <w:t>响应文件编制</w:t>
            </w:r>
          </w:p>
        </w:tc>
        <w:tc>
          <w:tcPr>
            <w:tcW w:w="4867" w:type="dxa"/>
            <w:vAlign w:val="center"/>
          </w:tcPr>
          <w:p w14:paraId="65534349">
            <w:pPr>
              <w:rPr>
                <w:rFonts w:ascii="仿宋" w:hAnsi="仿宋" w:eastAsia="仿宋" w:cs="仿宋"/>
                <w:sz w:val="22"/>
              </w:rPr>
            </w:pPr>
            <w:r>
              <w:rPr>
                <w:rFonts w:hint="eastAsia" w:ascii="仿宋" w:hAnsi="仿宋" w:eastAsia="仿宋" w:cs="仿宋"/>
                <w:sz w:val="22"/>
              </w:rPr>
              <w:t>符合谈判文件编制的实质性要求；</w:t>
            </w:r>
          </w:p>
          <w:p w14:paraId="319AE785">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603742BD">
            <w:pPr>
              <w:widowControl/>
              <w:jc w:val="left"/>
              <w:rPr>
                <w:rFonts w:ascii="仿宋" w:hAnsi="仿宋" w:eastAsia="仿宋" w:cs="仿宋"/>
                <w:bCs/>
                <w:kern w:val="0"/>
                <w:sz w:val="22"/>
              </w:rPr>
            </w:pPr>
          </w:p>
        </w:tc>
      </w:tr>
      <w:tr w14:paraId="54BCD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atLeast"/>
          <w:jc w:val="center"/>
        </w:trPr>
        <w:tc>
          <w:tcPr>
            <w:tcW w:w="796" w:type="dxa"/>
            <w:vAlign w:val="center"/>
          </w:tcPr>
          <w:p w14:paraId="5FFCDC28">
            <w:pPr>
              <w:jc w:val="center"/>
              <w:rPr>
                <w:rFonts w:ascii="仿宋" w:hAnsi="仿宋" w:eastAsia="仿宋" w:cs="仿宋"/>
                <w:sz w:val="22"/>
              </w:rPr>
            </w:pPr>
            <w:r>
              <w:rPr>
                <w:rFonts w:hint="eastAsia" w:ascii="仿宋" w:hAnsi="仿宋" w:eastAsia="仿宋" w:cs="仿宋"/>
                <w:sz w:val="22"/>
              </w:rPr>
              <w:t>4</w:t>
            </w:r>
          </w:p>
        </w:tc>
        <w:tc>
          <w:tcPr>
            <w:tcW w:w="2055" w:type="dxa"/>
            <w:vAlign w:val="center"/>
          </w:tcPr>
          <w:p w14:paraId="63176CC6">
            <w:pPr>
              <w:jc w:val="center"/>
              <w:rPr>
                <w:rFonts w:ascii="等线" w:hAnsi="等线" w:eastAsia="仿宋"/>
                <w:b/>
                <w:sz w:val="22"/>
              </w:rPr>
            </w:pPr>
            <w:r>
              <w:rPr>
                <w:rFonts w:hint="eastAsia" w:ascii="等线" w:hAnsi="等线" w:eastAsia="仿宋"/>
                <w:b/>
                <w:sz w:val="22"/>
              </w:rPr>
              <w:t>签字、盖章</w:t>
            </w:r>
          </w:p>
        </w:tc>
        <w:tc>
          <w:tcPr>
            <w:tcW w:w="4867" w:type="dxa"/>
            <w:vAlign w:val="center"/>
          </w:tcPr>
          <w:p w14:paraId="5689FAFA">
            <w:pPr>
              <w:rPr>
                <w:rFonts w:ascii="仿宋" w:hAnsi="仿宋" w:eastAsia="仿宋" w:cs="仿宋"/>
                <w:sz w:val="22"/>
              </w:rPr>
            </w:pPr>
            <w:r>
              <w:rPr>
                <w:rFonts w:hint="eastAsia" w:ascii="仿宋" w:hAnsi="仿宋" w:eastAsia="仿宋" w:cs="仿宋"/>
                <w:sz w:val="22"/>
              </w:rPr>
              <w:t>符合谈判文件要求;</w:t>
            </w:r>
          </w:p>
          <w:p w14:paraId="0E36B949">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3BFB9368">
            <w:pPr>
              <w:widowControl/>
              <w:jc w:val="left"/>
              <w:rPr>
                <w:rFonts w:ascii="仿宋" w:hAnsi="仿宋" w:eastAsia="仿宋" w:cs="仿宋"/>
                <w:bCs/>
                <w:kern w:val="0"/>
                <w:sz w:val="22"/>
              </w:rPr>
            </w:pPr>
          </w:p>
        </w:tc>
      </w:tr>
      <w:tr w14:paraId="71379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0EAEA4BF">
            <w:pPr>
              <w:jc w:val="center"/>
              <w:rPr>
                <w:rFonts w:ascii="仿宋" w:hAnsi="仿宋" w:eastAsia="仿宋" w:cs="仿宋"/>
                <w:sz w:val="22"/>
              </w:rPr>
            </w:pPr>
            <w:r>
              <w:rPr>
                <w:rFonts w:hint="eastAsia" w:ascii="仿宋" w:hAnsi="仿宋" w:eastAsia="仿宋" w:cs="仿宋"/>
                <w:sz w:val="22"/>
              </w:rPr>
              <w:t>5</w:t>
            </w:r>
          </w:p>
        </w:tc>
        <w:tc>
          <w:tcPr>
            <w:tcW w:w="2055" w:type="dxa"/>
            <w:vAlign w:val="center"/>
          </w:tcPr>
          <w:p w14:paraId="2F8EBDE4">
            <w:pPr>
              <w:jc w:val="center"/>
              <w:rPr>
                <w:rFonts w:ascii="等线" w:hAnsi="等线" w:eastAsia="仿宋"/>
                <w:b/>
                <w:sz w:val="22"/>
              </w:rPr>
            </w:pPr>
            <w:r>
              <w:rPr>
                <w:rFonts w:hint="eastAsia" w:ascii="等线" w:hAnsi="等线" w:eastAsia="仿宋"/>
                <w:b/>
                <w:sz w:val="22"/>
              </w:rPr>
              <w:t>报价</w:t>
            </w:r>
          </w:p>
        </w:tc>
        <w:tc>
          <w:tcPr>
            <w:tcW w:w="4867" w:type="dxa"/>
            <w:vAlign w:val="center"/>
          </w:tcPr>
          <w:p w14:paraId="79376A7F">
            <w:pPr>
              <w:rPr>
                <w:rFonts w:ascii="仿宋" w:hAnsi="仿宋" w:eastAsia="仿宋" w:cs="仿宋"/>
                <w:sz w:val="22"/>
              </w:rPr>
            </w:pPr>
            <w:r>
              <w:rPr>
                <w:rFonts w:hint="eastAsia" w:ascii="仿宋" w:hAnsi="仿宋" w:eastAsia="仿宋" w:cs="仿宋"/>
                <w:sz w:val="22"/>
              </w:rPr>
              <w:t>符合谈判文件报价要求;</w:t>
            </w:r>
          </w:p>
          <w:p w14:paraId="15F0C567">
            <w:pPr>
              <w:rPr>
                <w:rFonts w:ascii="仿宋" w:hAnsi="仿宋" w:eastAsia="仿宋" w:cs="仿宋"/>
                <w:sz w:val="22"/>
              </w:rPr>
            </w:pPr>
            <w:r>
              <w:rPr>
                <w:rFonts w:hint="eastAsia" w:ascii="仿宋" w:hAnsi="仿宋" w:eastAsia="仿宋" w:cs="仿宋"/>
                <w:sz w:val="22"/>
              </w:rPr>
              <w:t>注：供应商无需另行提供证明材料</w:t>
            </w:r>
          </w:p>
        </w:tc>
        <w:tc>
          <w:tcPr>
            <w:tcW w:w="902" w:type="dxa"/>
            <w:vAlign w:val="center"/>
          </w:tcPr>
          <w:p w14:paraId="030DCBEE">
            <w:pPr>
              <w:widowControl/>
              <w:jc w:val="left"/>
              <w:rPr>
                <w:rFonts w:ascii="仿宋" w:hAnsi="仿宋" w:eastAsia="仿宋" w:cs="仿宋"/>
                <w:bCs/>
                <w:kern w:val="0"/>
                <w:sz w:val="22"/>
              </w:rPr>
            </w:pPr>
          </w:p>
        </w:tc>
      </w:tr>
      <w:tr w14:paraId="132ED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4" w:hRule="atLeast"/>
          <w:jc w:val="center"/>
        </w:trPr>
        <w:tc>
          <w:tcPr>
            <w:tcW w:w="796" w:type="dxa"/>
            <w:vAlign w:val="center"/>
          </w:tcPr>
          <w:p w14:paraId="2EA460F6">
            <w:pPr>
              <w:jc w:val="center"/>
              <w:rPr>
                <w:rFonts w:ascii="仿宋" w:hAnsi="仿宋" w:eastAsia="仿宋" w:cs="仿宋"/>
                <w:sz w:val="22"/>
              </w:rPr>
            </w:pPr>
            <w:r>
              <w:rPr>
                <w:rFonts w:hint="eastAsia" w:ascii="仿宋" w:hAnsi="仿宋" w:eastAsia="仿宋" w:cs="仿宋"/>
                <w:sz w:val="22"/>
              </w:rPr>
              <w:t>6</w:t>
            </w:r>
          </w:p>
        </w:tc>
        <w:tc>
          <w:tcPr>
            <w:tcW w:w="2055" w:type="dxa"/>
            <w:vAlign w:val="center"/>
          </w:tcPr>
          <w:p w14:paraId="20DBFE60">
            <w:pPr>
              <w:jc w:val="center"/>
              <w:rPr>
                <w:rFonts w:ascii="等线" w:hAnsi="等线" w:eastAsia="仿宋"/>
                <w:b/>
                <w:sz w:val="22"/>
              </w:rPr>
            </w:pPr>
            <w:r>
              <w:rPr>
                <w:rFonts w:hint="eastAsia" w:ascii="等线" w:hAnsi="等线" w:eastAsia="仿宋"/>
                <w:b/>
                <w:sz w:val="22"/>
              </w:rPr>
              <w:t>评审小组认为需要符合的内容</w:t>
            </w:r>
          </w:p>
        </w:tc>
        <w:tc>
          <w:tcPr>
            <w:tcW w:w="4867" w:type="dxa"/>
            <w:vAlign w:val="center"/>
          </w:tcPr>
          <w:p w14:paraId="4CC7ED98">
            <w:pPr>
              <w:rPr>
                <w:rFonts w:ascii="仿宋" w:hAnsi="仿宋" w:eastAsia="仿宋" w:cs="仿宋"/>
                <w:sz w:val="22"/>
              </w:rPr>
            </w:pPr>
          </w:p>
        </w:tc>
        <w:tc>
          <w:tcPr>
            <w:tcW w:w="902" w:type="dxa"/>
            <w:vAlign w:val="center"/>
          </w:tcPr>
          <w:p w14:paraId="0DC545D2">
            <w:pPr>
              <w:widowControl/>
              <w:jc w:val="left"/>
              <w:rPr>
                <w:rFonts w:ascii="仿宋" w:hAnsi="仿宋" w:eastAsia="仿宋" w:cs="仿宋"/>
                <w:bCs/>
                <w:kern w:val="0"/>
                <w:sz w:val="22"/>
              </w:rPr>
            </w:pPr>
          </w:p>
        </w:tc>
      </w:tr>
    </w:tbl>
    <w:p w14:paraId="25F2E093">
      <w:r>
        <w:br w:type="page"/>
      </w:r>
    </w:p>
    <w:p w14:paraId="2C6E6485">
      <w:pPr>
        <w:pStyle w:val="5"/>
        <w:numPr>
          <w:ilvl w:val="0"/>
          <w:numId w:val="0"/>
        </w:numPr>
        <w:ind w:left="402"/>
      </w:pPr>
      <w:bookmarkStart w:id="7" w:name="_Toc12668"/>
      <w:bookmarkStart w:id="8" w:name="_Toc12193"/>
      <w:bookmarkStart w:id="9" w:name="_Toc3988"/>
      <w:r>
        <w:rPr>
          <w:rFonts w:hint="eastAsia"/>
        </w:rPr>
        <w:t>第四章 采购需求</w:t>
      </w:r>
      <w:bookmarkEnd w:id="7"/>
      <w:bookmarkEnd w:id="8"/>
      <w:bookmarkEnd w:id="9"/>
    </w:p>
    <w:p w14:paraId="55E8DD2C">
      <w:pPr>
        <w:rPr>
          <w:rFonts w:ascii="仿宋" w:hAnsi="仿宋" w:eastAsia="仿宋" w:cs="仿宋"/>
          <w:b/>
          <w:bCs/>
          <w:sz w:val="24"/>
          <w:szCs w:val="24"/>
        </w:rPr>
      </w:pPr>
    </w:p>
    <w:p w14:paraId="6D06CB63">
      <w:pPr>
        <w:numPr>
          <w:ilvl w:val="0"/>
          <w:numId w:val="18"/>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项目简介</w:t>
      </w:r>
    </w:p>
    <w:p w14:paraId="00FEC5B9">
      <w:pPr>
        <w:numPr>
          <w:numId w:val="0"/>
        </w:numPr>
        <w:ind w:leftChars="0" w:firstLine="630" w:firstLineChars="300"/>
        <w:rPr>
          <w:rFonts w:hint="eastAsia"/>
          <w:lang w:val="en-US" w:eastAsia="zh-CN"/>
        </w:rPr>
      </w:pPr>
      <w:r>
        <w:rPr>
          <w:rFonts w:hint="default"/>
          <w:lang w:val="en-US" w:eastAsia="zh-CN"/>
        </w:rPr>
        <w:t>根据我院信息化项目建设需要，</w:t>
      </w:r>
      <w:r>
        <w:rPr>
          <w:rFonts w:hint="eastAsia"/>
          <w:lang w:val="en-US" w:eastAsia="zh-CN"/>
        </w:rPr>
        <w:t>采购</w:t>
      </w:r>
      <w:r>
        <w:rPr>
          <w:rFonts w:hint="default"/>
          <w:lang w:val="en-US" w:eastAsia="zh-CN"/>
        </w:rPr>
        <w:t>广泛应用于医疗卫生等领域的专业统计软件，提供从数据管理、统计分析到结果呈现的完整解决方案</w:t>
      </w:r>
      <w:r>
        <w:rPr>
          <w:rFonts w:hint="eastAsia"/>
          <w:lang w:val="en-US" w:eastAsia="zh-CN"/>
        </w:rPr>
        <w:t>以及</w:t>
      </w:r>
      <w:r>
        <w:rPr>
          <w:rFonts w:hint="default"/>
          <w:lang w:val="en-US" w:eastAsia="zh-CN"/>
        </w:rPr>
        <w:t>SPSS专业软件软件正版化授权服务</w:t>
      </w:r>
      <w:r>
        <w:rPr>
          <w:rFonts w:hint="eastAsia"/>
          <w:lang w:val="en-US" w:eastAsia="zh-CN"/>
        </w:rPr>
        <w:t>，包含4套软件。</w:t>
      </w:r>
    </w:p>
    <w:p w14:paraId="582646DE">
      <w:pPr>
        <w:pStyle w:val="10"/>
        <w:rPr>
          <w:rFonts w:hint="eastAsia"/>
          <w:lang w:val="en-US" w:eastAsia="zh-CN"/>
        </w:rPr>
      </w:pPr>
    </w:p>
    <w:p w14:paraId="7BE68807">
      <w:pPr>
        <w:numPr>
          <w:ilvl w:val="0"/>
          <w:numId w:val="18"/>
        </w:numPr>
        <w:spacing w:after="317" w:afterLines="100"/>
        <w:outlineLvl w:val="1"/>
        <w:rPr>
          <w:rFonts w:hint="eastAsia"/>
        </w:rPr>
      </w:pPr>
      <w:r>
        <w:rPr>
          <w:rFonts w:hint="eastAsia" w:ascii="仿宋" w:hAnsi="仿宋" w:eastAsia="仿宋" w:cs="仿宋"/>
          <w:b/>
          <w:bCs/>
          <w:sz w:val="24"/>
          <w:szCs w:val="24"/>
        </w:rPr>
        <w:t>★技术、服务要求</w:t>
      </w:r>
    </w:p>
    <w:p w14:paraId="5B1EDDE6">
      <w:pPr>
        <w:numPr>
          <w:ilvl w:val="0"/>
          <w:numId w:val="19"/>
        </w:numPr>
        <w:rPr>
          <w:rFonts w:hint="eastAsia"/>
          <w:lang w:val="en-US" w:eastAsia="zh-CN"/>
        </w:rPr>
      </w:pPr>
      <w:r>
        <w:rPr>
          <w:rFonts w:hint="eastAsia"/>
          <w:lang w:val="en-US" w:eastAsia="zh-CN"/>
        </w:rPr>
        <w:t>基本要求</w:t>
      </w:r>
    </w:p>
    <w:p w14:paraId="7B9FF7D3">
      <w:pPr>
        <w:numPr>
          <w:ilvl w:val="0"/>
          <w:numId w:val="20"/>
        </w:numPr>
        <w:ind w:left="425" w:leftChars="0" w:hanging="425" w:firstLineChars="0"/>
        <w:rPr>
          <w:rFonts w:hint="default"/>
          <w:lang w:val="en-US" w:eastAsia="zh-CN"/>
        </w:rPr>
      </w:pPr>
      <w:r>
        <w:rPr>
          <w:rFonts w:hint="eastAsia" w:ascii="宋体" w:hAnsi="宋体" w:eastAsia="宋体" w:cs="宋体"/>
          <w:lang w:val="en-US" w:eastAsia="zh-CN"/>
        </w:rPr>
        <w:t>★</w:t>
      </w:r>
      <w:r>
        <w:rPr>
          <w:rFonts w:hint="eastAsia"/>
          <w:lang w:val="en-US" w:eastAsia="zh-CN"/>
        </w:rPr>
        <w:t>由供应商在采购人指定地点提供SPSS 专业软件技术服务，包含4套软件，每套软件具体情况如下：</w:t>
      </w:r>
    </w:p>
    <w:p w14:paraId="0150A3C4">
      <w:pPr>
        <w:numPr>
          <w:ilvl w:val="0"/>
          <w:numId w:val="0"/>
        </w:numPr>
        <w:ind w:leftChars="0" w:firstLine="420" w:firstLineChars="200"/>
        <w:rPr>
          <w:rFonts w:hint="default"/>
          <w:lang w:val="en-US" w:eastAsia="zh-CN"/>
        </w:rPr>
      </w:pPr>
      <w:r>
        <w:rPr>
          <w:rFonts w:hint="eastAsia"/>
          <w:lang w:val="en-US" w:eastAsia="zh-CN"/>
        </w:rPr>
        <w:t>软件名称：IBM SPSS</w:t>
      </w:r>
    </w:p>
    <w:p w14:paraId="68ED2C9F">
      <w:pPr>
        <w:numPr>
          <w:ilvl w:val="0"/>
          <w:numId w:val="0"/>
        </w:numPr>
        <w:ind w:leftChars="0" w:firstLine="420" w:firstLineChars="200"/>
        <w:rPr>
          <w:rFonts w:hint="default"/>
          <w:lang w:val="en-US" w:eastAsia="zh-CN"/>
        </w:rPr>
      </w:pPr>
      <w:r>
        <w:rPr>
          <w:rFonts w:hint="eastAsia"/>
          <w:lang w:val="en-US" w:eastAsia="zh-CN"/>
        </w:rPr>
        <w:t xml:space="preserve">软件品牌：IBM </w:t>
      </w:r>
    </w:p>
    <w:p w14:paraId="5B2A583D">
      <w:pPr>
        <w:numPr>
          <w:ilvl w:val="0"/>
          <w:numId w:val="0"/>
        </w:numPr>
        <w:ind w:leftChars="0" w:firstLine="420" w:firstLineChars="200"/>
        <w:rPr>
          <w:rFonts w:hint="default"/>
          <w:lang w:val="en-US" w:eastAsia="zh-CN"/>
        </w:rPr>
      </w:pPr>
      <w:r>
        <w:rPr>
          <w:rFonts w:hint="eastAsia"/>
          <w:lang w:val="en-US" w:eastAsia="zh-CN"/>
        </w:rPr>
        <w:t>软件版本：V31.0标准版</w:t>
      </w:r>
    </w:p>
    <w:p w14:paraId="6CD14215">
      <w:pPr>
        <w:numPr>
          <w:ilvl w:val="0"/>
          <w:numId w:val="0"/>
        </w:numPr>
        <w:ind w:leftChars="0" w:firstLine="416" w:firstLineChars="200"/>
        <w:rPr>
          <w:rFonts w:hint="default"/>
          <w:lang w:val="en-US" w:eastAsia="zh-CN"/>
        </w:rPr>
      </w:pPr>
      <w:r>
        <w:rPr>
          <w:rFonts w:hint="eastAsia"/>
          <w:spacing w:val="-1"/>
          <w:lang w:val="en-US" w:eastAsia="zh-CN"/>
        </w:rPr>
        <w:t>提供的服务包括广泛应用于医疗卫生等领域的专业统计软件，提供从数据管理、统计分析到结果呈现的完整解决方案以及软件正版化授权服务，</w:t>
      </w:r>
      <w:r>
        <w:rPr>
          <w:spacing w:val="-1"/>
        </w:rPr>
        <w:t>承诺协助处理因被</w:t>
      </w:r>
      <w:r>
        <w:rPr>
          <w:rFonts w:hint="eastAsia"/>
          <w:spacing w:val="-1"/>
          <w:lang w:val="en-US" w:eastAsia="zh-CN"/>
        </w:rPr>
        <w:t>采购人</w:t>
      </w:r>
      <w:r>
        <w:rPr>
          <w:spacing w:val="-1"/>
        </w:rPr>
        <w:t>成员、在职或离职员工以任何方式使用</w:t>
      </w:r>
      <w:r>
        <w:rPr>
          <w:rFonts w:hint="eastAsia"/>
          <w:spacing w:val="-1"/>
          <w:lang w:eastAsia="zh-CN"/>
        </w:rPr>
        <w:t>“</w:t>
      </w:r>
      <w:r>
        <w:rPr>
          <w:spacing w:val="-1"/>
        </w:rPr>
        <w:t>IBM SPSS</w:t>
      </w:r>
      <w:r>
        <w:rPr>
          <w:rFonts w:hint="eastAsia"/>
          <w:spacing w:val="-1"/>
          <w:lang w:eastAsia="zh-CN"/>
        </w:rPr>
        <w:t>”</w:t>
      </w:r>
      <w:r>
        <w:rPr>
          <w:spacing w:val="-1"/>
        </w:rPr>
        <w:t>软件而可能向被许可方及许可方任何成员主张的所有历史潜在</w:t>
      </w:r>
      <w:r>
        <w:rPr>
          <w:rFonts w:hint="eastAsia"/>
          <w:spacing w:val="-1"/>
          <w:lang w:eastAsia="zh-CN"/>
        </w:rPr>
        <w:t>“</w:t>
      </w:r>
      <w:r>
        <w:rPr>
          <w:spacing w:val="-1"/>
        </w:rPr>
        <w:t>IBM SPSS</w:t>
      </w:r>
      <w:r>
        <w:rPr>
          <w:rFonts w:hint="eastAsia"/>
          <w:spacing w:val="-1"/>
          <w:lang w:eastAsia="zh-CN"/>
        </w:rPr>
        <w:t>”</w:t>
      </w:r>
      <w:r>
        <w:rPr>
          <w:spacing w:val="-1"/>
        </w:rPr>
        <w:t>软件合规问题，直至解决</w:t>
      </w:r>
      <w:r>
        <w:rPr>
          <w:rFonts w:hint="eastAsia"/>
          <w:spacing w:val="-1"/>
          <w:lang w:val="en-US" w:eastAsia="zh-CN"/>
        </w:rPr>
        <w:t>。供应商需提供</w:t>
      </w:r>
      <w:r>
        <w:rPr>
          <w:rFonts w:hint="default"/>
          <w:lang w:val="en-US" w:eastAsia="zh-CN"/>
        </w:rPr>
        <w:t>原厂正规授权代理商</w:t>
      </w:r>
      <w:r>
        <w:rPr>
          <w:rFonts w:hint="eastAsia"/>
          <w:lang w:val="en-US" w:eastAsia="zh-CN"/>
        </w:rPr>
        <w:t>的证明文件</w:t>
      </w:r>
      <w:r>
        <w:rPr>
          <w:rFonts w:hint="default"/>
          <w:lang w:val="en-US" w:eastAsia="zh-CN"/>
        </w:rPr>
        <w:t>，所售软件均为正版软件，无版权瑕疵。自软件授权正式交付并激活之日起，被许可方任何成员及其员工在遵守用户许可协议的前提下，于授权范围内使用“IBM SPSS”软件的行为，将不会被视为侵权，不会招致权利主张、侵权投诉或法律诉讼</w:t>
      </w:r>
      <w:r>
        <w:rPr>
          <w:rFonts w:hint="eastAsia"/>
          <w:lang w:val="en-US" w:eastAsia="zh-CN"/>
        </w:rPr>
        <w:t>。</w:t>
      </w:r>
    </w:p>
    <w:p w14:paraId="1A71BA18">
      <w:pPr>
        <w:numPr>
          <w:ilvl w:val="0"/>
          <w:numId w:val="19"/>
        </w:numPr>
        <w:rPr>
          <w:rFonts w:hint="default"/>
          <w:lang w:val="en-US" w:eastAsia="zh-CN"/>
        </w:rPr>
      </w:pPr>
      <w:r>
        <w:rPr>
          <w:rFonts w:hint="eastAsia"/>
          <w:lang w:val="en-US" w:eastAsia="zh-CN"/>
        </w:rPr>
        <w:t>技术服务要求</w:t>
      </w:r>
    </w:p>
    <w:p w14:paraId="4CB6EDF0">
      <w:pPr>
        <w:numPr>
          <w:ilvl w:val="0"/>
          <w:numId w:val="20"/>
        </w:numPr>
        <w:ind w:left="425" w:leftChars="0" w:hanging="425" w:firstLineChars="0"/>
        <w:rPr>
          <w:rFonts w:hint="eastAsia"/>
        </w:rPr>
      </w:pPr>
      <w:r>
        <w:rPr>
          <w:rFonts w:hint="eastAsia"/>
        </w:rPr>
        <w:t>要能支持中文字段和中文值：在数据中要能够使用中文作为字段名，在数据中是能够包含中文取值；</w:t>
      </w:r>
    </w:p>
    <w:p w14:paraId="4E1623F1">
      <w:pPr>
        <w:numPr>
          <w:ilvl w:val="0"/>
          <w:numId w:val="20"/>
        </w:numPr>
        <w:ind w:left="425" w:leftChars="0" w:hanging="425" w:firstLineChars="0"/>
        <w:rPr>
          <w:rFonts w:hint="eastAsia"/>
        </w:rPr>
      </w:pPr>
      <w:r>
        <w:rPr>
          <w:rFonts w:hint="eastAsia"/>
        </w:rPr>
        <w:t>提供中文版：提供中文版本软件，提供中文界面和中文结果展示；</w:t>
      </w:r>
    </w:p>
    <w:p w14:paraId="1BB74555">
      <w:pPr>
        <w:numPr>
          <w:ilvl w:val="0"/>
          <w:numId w:val="20"/>
        </w:numPr>
        <w:ind w:left="425" w:leftChars="0" w:hanging="425" w:firstLineChars="0"/>
        <w:rPr>
          <w:rFonts w:hint="eastAsia"/>
        </w:rPr>
      </w:pPr>
      <w:r>
        <w:rPr>
          <w:rFonts w:hint="eastAsia"/>
        </w:rPr>
        <w:t>中文帮助：要能提供中文帮助以及用户手册是否提供中文版；</w:t>
      </w:r>
    </w:p>
    <w:p w14:paraId="7EDE1431">
      <w:pPr>
        <w:numPr>
          <w:ilvl w:val="0"/>
          <w:numId w:val="20"/>
        </w:numPr>
        <w:ind w:left="425" w:leftChars="0" w:hanging="425" w:firstLineChars="0"/>
        <w:rPr>
          <w:rFonts w:hint="eastAsia"/>
        </w:rPr>
      </w:pPr>
      <w:r>
        <w:rPr>
          <w:rFonts w:hint="eastAsia"/>
        </w:rPr>
        <w:t>需能够读取异构数据源：需能够读取与写入文本文件、Excel、、数据库文件（包括 IBM DB2，Oracle，Sybase，MS SQL Server 等）</w:t>
      </w:r>
    </w:p>
    <w:p w14:paraId="70A2A73A">
      <w:pPr>
        <w:numPr>
          <w:ilvl w:val="0"/>
          <w:numId w:val="20"/>
        </w:numPr>
        <w:ind w:left="425" w:leftChars="0" w:hanging="425" w:firstLineChars="0"/>
        <w:rPr>
          <w:rFonts w:hint="eastAsia"/>
        </w:rPr>
      </w:pPr>
      <w:r>
        <w:rPr>
          <w:rFonts w:hint="eastAsia"/>
        </w:rPr>
        <w:t>操作系统支持：能支持 Windows，Mac 在内的多种操作系统以及是否支持64 位机器；</w:t>
      </w:r>
    </w:p>
    <w:p w14:paraId="54E0B4F7">
      <w:pPr>
        <w:numPr>
          <w:ilvl w:val="0"/>
          <w:numId w:val="20"/>
        </w:numPr>
        <w:ind w:left="425" w:leftChars="0" w:hanging="425" w:firstLineChars="0"/>
        <w:rPr>
          <w:rFonts w:hint="eastAsia"/>
        </w:rPr>
      </w:pPr>
      <w:r>
        <w:rPr>
          <w:rFonts w:hint="eastAsia"/>
        </w:rPr>
        <w:t>功能扩展：能支持使用 Python 或者 R 开发新的数据处理/算法，并加入到软件的功能菜单中</w:t>
      </w:r>
    </w:p>
    <w:p w14:paraId="2AD1D465">
      <w:pPr>
        <w:numPr>
          <w:ilvl w:val="0"/>
          <w:numId w:val="20"/>
        </w:numPr>
        <w:ind w:left="425" w:leftChars="0" w:hanging="425" w:firstLineChars="0"/>
        <w:rPr>
          <w:rFonts w:hint="eastAsia"/>
        </w:rPr>
      </w:pPr>
      <w:r>
        <w:rPr>
          <w:rFonts w:hint="eastAsia"/>
        </w:rPr>
        <w:t>统计图：需包含常见的统计图对数据进行描述，包括条形图、直方图、饼图、线图、散点图、箱线图、茎叶图、序列图、ROC图、PP 图、QQ 图等；</w:t>
      </w:r>
    </w:p>
    <w:p w14:paraId="485798C2">
      <w:pPr>
        <w:numPr>
          <w:ilvl w:val="0"/>
          <w:numId w:val="20"/>
        </w:numPr>
        <w:ind w:left="425" w:leftChars="0" w:hanging="425" w:firstLineChars="0"/>
        <w:rPr>
          <w:rFonts w:hint="eastAsia"/>
        </w:rPr>
      </w:pPr>
      <w:r>
        <w:rPr>
          <w:rFonts w:hint="eastAsia"/>
        </w:rPr>
        <w:t>统计表：需能支持对数据进行分析描述的统计表，包括对连续变量、分类变量、多选题的制表；</w:t>
      </w:r>
    </w:p>
    <w:p w14:paraId="1E29EF6B">
      <w:pPr>
        <w:numPr>
          <w:ilvl w:val="0"/>
          <w:numId w:val="20"/>
        </w:numPr>
        <w:ind w:left="425" w:leftChars="0" w:hanging="425" w:firstLineChars="0"/>
        <w:rPr>
          <w:rFonts w:hint="eastAsia"/>
        </w:rPr>
      </w:pPr>
      <w:r>
        <w:rPr>
          <w:rFonts w:hint="eastAsia"/>
        </w:rPr>
        <w:t>统计量描述：需包含常见统计量的描述，如频数计数、百分比、均值、中位数、众数、总和、最大值、最小值、全距、标准差、标准误差、方差、峰度、偏度、百分位数等；</w:t>
      </w:r>
    </w:p>
    <w:p w14:paraId="48AC075D">
      <w:pPr>
        <w:numPr>
          <w:ilvl w:val="0"/>
          <w:numId w:val="20"/>
        </w:numPr>
        <w:ind w:left="425" w:leftChars="0" w:hanging="425" w:firstLineChars="0"/>
        <w:rPr>
          <w:rFonts w:hint="eastAsia"/>
        </w:rPr>
      </w:pPr>
      <w:r>
        <w:rPr>
          <w:rFonts w:hint="eastAsia"/>
        </w:rPr>
        <w:t>定制报表：要能提供复杂的统计分析报表。要求报表通过简单拖拽即可完成，报表中可以包括针对离散变量和连续变量的复杂统计指标，并提供能够完成显著性检验的推断统计指标；</w:t>
      </w:r>
    </w:p>
    <w:p w14:paraId="7653897C">
      <w:pPr>
        <w:numPr>
          <w:ilvl w:val="0"/>
          <w:numId w:val="20"/>
        </w:numPr>
        <w:ind w:left="425" w:leftChars="0" w:hanging="425" w:firstLineChars="0"/>
        <w:rPr>
          <w:rFonts w:hint="eastAsia"/>
        </w:rPr>
      </w:pPr>
      <w:r>
        <w:rPr>
          <w:rFonts w:hint="eastAsia"/>
        </w:rPr>
        <w:t>数据整理：要有排序、选择、汇总、生成新变量、连续变量分箱、离散变量重新分类、数据合并、数据追加、数据复杂重组变换等数据整理功能；</w:t>
      </w:r>
    </w:p>
    <w:p w14:paraId="158F1B02">
      <w:pPr>
        <w:numPr>
          <w:ilvl w:val="0"/>
          <w:numId w:val="20"/>
        </w:numPr>
        <w:ind w:left="425" w:leftChars="0" w:hanging="425" w:firstLineChars="0"/>
        <w:rPr>
          <w:rFonts w:hint="eastAsia"/>
        </w:rPr>
      </w:pPr>
      <w:r>
        <w:rPr>
          <w:rFonts w:hint="eastAsia"/>
        </w:rPr>
        <w:t>数据准备：能提供自动数据准备，数据验证和异常值发现等功能；</w:t>
      </w:r>
    </w:p>
    <w:p w14:paraId="0D3A7B77">
      <w:pPr>
        <w:numPr>
          <w:ilvl w:val="0"/>
          <w:numId w:val="20"/>
        </w:numPr>
        <w:ind w:left="425" w:leftChars="0" w:hanging="425" w:firstLineChars="0"/>
        <w:rPr>
          <w:rFonts w:hint="eastAsia"/>
        </w:rPr>
      </w:pPr>
      <w:r>
        <w:rPr>
          <w:rFonts w:hint="eastAsia"/>
        </w:rPr>
        <w:t>均值比较：能提供包含单样本 T 检验、独立样本 T 检验、配对样本 T检验、单因素方差分析等；</w:t>
      </w:r>
    </w:p>
    <w:p w14:paraId="65A4A3D8">
      <w:pPr>
        <w:numPr>
          <w:ilvl w:val="0"/>
          <w:numId w:val="20"/>
        </w:numPr>
        <w:ind w:left="425" w:leftChars="0" w:hanging="425" w:firstLineChars="0"/>
        <w:rPr>
          <w:rFonts w:hint="eastAsia"/>
        </w:rPr>
      </w:pPr>
      <w:r>
        <w:rPr>
          <w:rFonts w:hint="eastAsia"/>
        </w:rPr>
        <w:t>相关分析：要能提供 Pearson 相关、Kendall’s 相关、Spearman 相关、偏相关等分析方法；</w:t>
      </w:r>
    </w:p>
    <w:p w14:paraId="40DA15BE">
      <w:pPr>
        <w:numPr>
          <w:ilvl w:val="0"/>
          <w:numId w:val="20"/>
        </w:numPr>
        <w:ind w:left="425" w:leftChars="0" w:hanging="425" w:firstLineChars="0"/>
        <w:rPr>
          <w:rFonts w:hint="eastAsia"/>
        </w:rPr>
      </w:pPr>
      <w:r>
        <w:rPr>
          <w:rFonts w:hint="eastAsia"/>
        </w:rPr>
        <w:t>回归分析：需能提供多种线性回归、非线性回归方法，包括Logistics回归、非线性回归、概率回归；</w:t>
      </w:r>
    </w:p>
    <w:p w14:paraId="32951951">
      <w:pPr>
        <w:numPr>
          <w:ilvl w:val="0"/>
          <w:numId w:val="20"/>
        </w:numPr>
        <w:ind w:left="425" w:leftChars="0" w:hanging="425" w:firstLineChars="0"/>
        <w:rPr>
          <w:rFonts w:hint="eastAsia"/>
        </w:rPr>
      </w:pPr>
      <w:r>
        <w:rPr>
          <w:rFonts w:hint="eastAsia"/>
        </w:rPr>
        <w:t>非参数检验：要提供非参数检验方法。包括卡方检验、二项式检验、游程检验、单样本的分布检验、两独立样本检验、两相关样本检验、多相关样本检验；</w:t>
      </w:r>
    </w:p>
    <w:p w14:paraId="2BC5F51B">
      <w:pPr>
        <w:numPr>
          <w:ilvl w:val="0"/>
          <w:numId w:val="20"/>
        </w:numPr>
        <w:ind w:left="425" w:leftChars="0" w:hanging="425" w:firstLineChars="0"/>
        <w:rPr>
          <w:rFonts w:hint="eastAsia"/>
        </w:rPr>
      </w:pPr>
      <w:r>
        <w:rPr>
          <w:rFonts w:hint="eastAsia"/>
        </w:rPr>
        <w:t>数据降维：要能提供对数据降维的分析方法。包括因子分析、主成分分析等，在分析中应该因子旋转、碎石图、因子载荷等相关内容的分析；</w:t>
      </w:r>
    </w:p>
    <w:p w14:paraId="6C5CC45E">
      <w:pPr>
        <w:numPr>
          <w:ilvl w:val="0"/>
          <w:numId w:val="20"/>
        </w:numPr>
        <w:ind w:left="425" w:leftChars="0" w:hanging="425" w:firstLineChars="0"/>
        <w:rPr>
          <w:rFonts w:hint="eastAsia"/>
        </w:rPr>
      </w:pPr>
      <w:r>
        <w:rPr>
          <w:rFonts w:hint="eastAsia"/>
        </w:rPr>
        <w:t>邻近映射：要包含近似值映射方法；</w:t>
      </w:r>
    </w:p>
    <w:p w14:paraId="12476052">
      <w:pPr>
        <w:numPr>
          <w:ilvl w:val="0"/>
          <w:numId w:val="20"/>
        </w:numPr>
        <w:ind w:left="425" w:leftChars="0" w:hanging="425" w:firstLineChars="0"/>
        <w:rPr>
          <w:rFonts w:hint="eastAsia"/>
        </w:rPr>
      </w:pPr>
      <w:r>
        <w:rPr>
          <w:rFonts w:hint="eastAsia"/>
        </w:rPr>
        <w:t>聚类分析：能提供聚类分析方法，包括两步聚类、系统聚类、快速聚类等、K-Means 聚类；</w:t>
      </w:r>
    </w:p>
    <w:p w14:paraId="22B0CC7E">
      <w:pPr>
        <w:numPr>
          <w:ilvl w:val="0"/>
          <w:numId w:val="20"/>
        </w:numPr>
        <w:ind w:left="425" w:leftChars="0" w:hanging="425" w:firstLineChars="0"/>
        <w:rPr>
          <w:rFonts w:hint="eastAsia"/>
        </w:rPr>
      </w:pPr>
      <w:r>
        <w:rPr>
          <w:rFonts w:hint="eastAsia"/>
        </w:rPr>
        <w:t>判别分析：要能提供判别分析方法，包括判别图像、判别函数、判别的检验等内容；</w:t>
      </w:r>
    </w:p>
    <w:p w14:paraId="20E0294E">
      <w:pPr>
        <w:numPr>
          <w:ilvl w:val="0"/>
          <w:numId w:val="20"/>
        </w:numPr>
        <w:ind w:left="425" w:leftChars="0" w:hanging="425" w:firstLineChars="0"/>
        <w:rPr>
          <w:rFonts w:hint="eastAsia"/>
        </w:rPr>
      </w:pPr>
      <w:r>
        <w:rPr>
          <w:rFonts w:hint="eastAsia"/>
        </w:rPr>
        <w:t>生存分析：要能提供生命表、Kaplan-Meier、Cox 回归等方法；</w:t>
      </w:r>
    </w:p>
    <w:p w14:paraId="0AEED1F3">
      <w:pPr>
        <w:numPr>
          <w:ilvl w:val="0"/>
          <w:numId w:val="20"/>
        </w:numPr>
        <w:ind w:left="425" w:leftChars="0" w:hanging="425" w:firstLineChars="0"/>
        <w:rPr>
          <w:rFonts w:hint="eastAsia"/>
        </w:rPr>
      </w:pPr>
      <w:r>
        <w:rPr>
          <w:rFonts w:hint="eastAsia"/>
        </w:rPr>
        <w:t>质量控制：能提供质量控制分析方法；</w:t>
      </w:r>
    </w:p>
    <w:p w14:paraId="0F66CF8E">
      <w:pPr>
        <w:numPr>
          <w:ilvl w:val="0"/>
          <w:numId w:val="20"/>
        </w:numPr>
        <w:ind w:left="425" w:leftChars="0" w:hanging="425" w:firstLineChars="0"/>
        <w:rPr>
          <w:rFonts w:hint="eastAsia"/>
        </w:rPr>
      </w:pPr>
      <w:r>
        <w:rPr>
          <w:rFonts w:hint="eastAsia"/>
        </w:rPr>
        <w:t>一般线性模型：能提供一般线性模型，包括多元方差分析（MNAOVA）、重复测量的方差分析方法，方差成分（Variance components）分析方法；</w:t>
      </w:r>
    </w:p>
    <w:p w14:paraId="2C973E09">
      <w:pPr>
        <w:numPr>
          <w:ilvl w:val="0"/>
          <w:numId w:val="20"/>
        </w:numPr>
        <w:ind w:left="425" w:leftChars="0" w:hanging="425" w:firstLineChars="0"/>
        <w:rPr>
          <w:rFonts w:ascii="宋体" w:hAnsi="宋体" w:eastAsia="宋体" w:cs="Arial Unicode MS"/>
          <w:kern w:val="0"/>
          <w:sz w:val="28"/>
          <w:szCs w:val="28"/>
        </w:rPr>
      </w:pPr>
      <w:r>
        <w:rPr>
          <w:rFonts w:hint="eastAsia"/>
        </w:rPr>
        <w:t>广义线性模型与广义估计方程：要能提供 Gamma 回归、泊松回归、负二项式、广义线性混合模型（GLMM）、分层对数线性模型、线性混合模型。</w:t>
      </w:r>
    </w:p>
    <w:p w14:paraId="31273BED">
      <w:pPr>
        <w:numPr>
          <w:ilvl w:val="0"/>
          <w:numId w:val="20"/>
        </w:numPr>
        <w:ind w:left="425" w:leftChars="0" w:hanging="425" w:firstLineChars="0"/>
        <w:rPr>
          <w:rFonts w:hint="eastAsia"/>
        </w:rPr>
      </w:pPr>
      <w:r>
        <w:rPr>
          <w:rFonts w:hint="eastAsia" w:ascii="宋体" w:hAnsi="宋体" w:eastAsia="宋体" w:cs="宋体"/>
          <w:lang w:val="en-US" w:eastAsia="zh-CN"/>
        </w:rPr>
        <w:t>★</w:t>
      </w:r>
      <w:r>
        <w:rPr>
          <w:rFonts w:hint="eastAsia"/>
          <w:lang w:val="en-US" w:eastAsia="zh-CN"/>
        </w:rPr>
        <w:t>其他</w:t>
      </w:r>
      <w:r>
        <w:rPr>
          <w:rFonts w:hint="eastAsia"/>
        </w:rPr>
        <w:t>要求：</w:t>
      </w:r>
    </w:p>
    <w:p w14:paraId="4932C66B">
      <w:pPr>
        <w:numPr>
          <w:ilvl w:val="0"/>
          <w:numId w:val="21"/>
        </w:numPr>
        <w:ind w:left="425" w:leftChars="0" w:hanging="425" w:firstLineChars="0"/>
        <w:rPr>
          <w:rFonts w:hint="eastAsia"/>
        </w:rPr>
      </w:pPr>
      <w:r>
        <w:rPr>
          <w:rFonts w:hint="eastAsia"/>
        </w:rPr>
        <w:t>成交供应商须提供权属清楚，不得侵害他人的知识产权的正版软件。</w:t>
      </w:r>
    </w:p>
    <w:p w14:paraId="7F277AA5">
      <w:pPr>
        <w:numPr>
          <w:ilvl w:val="0"/>
          <w:numId w:val="21"/>
        </w:numPr>
        <w:ind w:left="425" w:leftChars="0" w:hanging="425" w:firstLineChars="0"/>
        <w:rPr>
          <w:rFonts w:hint="eastAsia"/>
        </w:rPr>
      </w:pPr>
      <w:r>
        <w:rPr>
          <w:rFonts w:hint="eastAsia"/>
        </w:rPr>
        <w:t>售后服务要求</w:t>
      </w:r>
    </w:p>
    <w:p w14:paraId="2898FD9C">
      <w:pPr>
        <w:numPr>
          <w:ilvl w:val="0"/>
          <w:numId w:val="0"/>
        </w:numPr>
        <w:ind w:leftChars="0" w:firstLine="420" w:firstLineChars="200"/>
        <w:rPr>
          <w:rFonts w:hint="eastAsia"/>
        </w:rPr>
      </w:pPr>
      <w:r>
        <w:rPr>
          <w:rFonts w:hint="eastAsia"/>
        </w:rPr>
        <w:t>自验收合格之日起，质保期为</w:t>
      </w:r>
      <w:r>
        <w:rPr>
          <w:rFonts w:hint="eastAsia"/>
          <w:lang w:val="en-US" w:eastAsia="zh-CN"/>
        </w:rPr>
        <w:t>3</w:t>
      </w:r>
      <w:r>
        <w:rPr>
          <w:rFonts w:hint="eastAsia"/>
        </w:rPr>
        <w:t>年；在质保期内，成交供应商应采购人提供不低于3次软件功能培训。</w:t>
      </w:r>
    </w:p>
    <w:p w14:paraId="10461248">
      <w:pPr>
        <w:numPr>
          <w:ilvl w:val="0"/>
          <w:numId w:val="0"/>
        </w:numPr>
        <w:ind w:leftChars="0" w:firstLine="420" w:firstLineChars="200"/>
        <w:rPr>
          <w:rFonts w:hint="eastAsia"/>
        </w:rPr>
      </w:pPr>
      <w:r>
        <w:rPr>
          <w:rFonts w:hint="eastAsia"/>
        </w:rPr>
        <w:t>质保期内，供应商须提供专人5×8小时值守热线电话和在线技术支持，以保证及时与用户沟通，以最快的响应速度受理和解决用户所遇到的各种问题。如果出现技术故障和问题，在接到用户故障报告后响应时间不超过12小时，在48小时内到达现场或者远程搭建解决问题的环境，如果在48小时内未解决故障和问题，将采取紧急预案，使设备得以正常运行。</w:t>
      </w:r>
    </w:p>
    <w:p w14:paraId="68CD6BAC">
      <w:pPr>
        <w:numPr>
          <w:ilvl w:val="0"/>
          <w:numId w:val="0"/>
        </w:numPr>
        <w:spacing w:after="317" w:afterLines="100"/>
        <w:outlineLvl w:val="1"/>
        <w:rPr>
          <w:rFonts w:hint="eastAsia"/>
        </w:rPr>
      </w:pPr>
      <w:r>
        <w:rPr>
          <w:rFonts w:hint="eastAsia"/>
        </w:rPr>
        <w:t>安全责任：在履行合同过程中，由成交供应商自行负责和承担相关安全责任，采购人不承担任何安全责任，也不承担发生安全事故产生的任何责任。</w:t>
      </w:r>
    </w:p>
    <w:p w14:paraId="01A05C9E">
      <w:pPr>
        <w:numPr>
          <w:ilvl w:val="0"/>
          <w:numId w:val="0"/>
        </w:numPr>
        <w:spacing w:after="317" w:afterLines="100"/>
        <w:outlineLvl w:val="1"/>
        <w:rPr>
          <w:rFonts w:hint="eastAsia" w:ascii="仿宋" w:hAnsi="仿宋" w:eastAsia="仿宋" w:cs="仿宋"/>
          <w:b/>
          <w:bCs/>
          <w:sz w:val="24"/>
          <w:szCs w:val="24"/>
        </w:rPr>
      </w:pPr>
      <w:r>
        <w:rPr>
          <w:rFonts w:hint="eastAsia" w:ascii="仿宋" w:hAnsi="仿宋" w:eastAsia="仿宋" w:cs="仿宋"/>
          <w:b/>
          <w:bCs/>
          <w:sz w:val="24"/>
          <w:szCs w:val="24"/>
        </w:rPr>
        <w:t>★三、商务要求</w:t>
      </w:r>
    </w:p>
    <w:p w14:paraId="63A6CAC1">
      <w:pPr>
        <w:numPr>
          <w:ilvl w:val="0"/>
          <w:numId w:val="22"/>
        </w:numPr>
        <w:ind w:left="425" w:leftChars="0" w:hanging="425" w:firstLineChars="0"/>
        <w:rPr>
          <w:rFonts w:hint="eastAsia"/>
          <w:lang w:val="en-US" w:eastAsia="zh-CN"/>
        </w:rPr>
      </w:pPr>
      <w:r>
        <w:rPr>
          <w:rFonts w:hint="eastAsia"/>
          <w:lang w:val="en-US" w:eastAsia="zh-CN"/>
        </w:rPr>
        <w:t>履约要求：</w:t>
      </w:r>
    </w:p>
    <w:p w14:paraId="0768E3F7">
      <w:pPr>
        <w:numPr>
          <w:numId w:val="0"/>
        </w:numPr>
        <w:ind w:leftChars="0" w:firstLine="420" w:firstLineChars="200"/>
        <w:rPr>
          <w:rFonts w:hint="eastAsia"/>
        </w:rPr>
      </w:pPr>
      <w:r>
        <w:rPr>
          <w:rFonts w:hint="eastAsia"/>
        </w:rPr>
        <w:t>成交供应商应在签订合同后</w:t>
      </w:r>
      <w:r>
        <w:rPr>
          <w:rFonts w:hint="eastAsia"/>
          <w:lang w:val="en-US" w:eastAsia="zh-CN"/>
        </w:rPr>
        <w:t>30</w:t>
      </w:r>
      <w:r>
        <w:rPr>
          <w:rFonts w:hint="eastAsia"/>
        </w:rPr>
        <w:t>日内提供</w:t>
      </w:r>
      <w:r>
        <w:rPr>
          <w:rFonts w:hint="eastAsia"/>
          <w:lang w:val="en-US" w:eastAsia="zh-CN"/>
        </w:rPr>
        <w:t>相应的系统并完成调试，</w:t>
      </w:r>
      <w:r>
        <w:rPr>
          <w:rFonts w:hint="eastAsia"/>
        </w:rPr>
        <w:t>并进行验收。</w:t>
      </w:r>
    </w:p>
    <w:p w14:paraId="2DC3E839">
      <w:pPr>
        <w:numPr>
          <w:ilvl w:val="0"/>
          <w:numId w:val="22"/>
        </w:numPr>
        <w:ind w:left="425" w:leftChars="0" w:hanging="425" w:firstLineChars="0"/>
        <w:rPr>
          <w:rFonts w:hint="eastAsia"/>
        </w:rPr>
      </w:pPr>
      <w:r>
        <w:rPr>
          <w:rFonts w:hint="eastAsia"/>
        </w:rPr>
        <w:t>付款方式：</w:t>
      </w:r>
    </w:p>
    <w:p w14:paraId="28687175">
      <w:pPr>
        <w:numPr>
          <w:numId w:val="0"/>
        </w:numPr>
        <w:ind w:leftChars="0" w:firstLine="420" w:firstLineChars="200"/>
        <w:rPr>
          <w:rFonts w:hint="eastAsia"/>
        </w:rPr>
      </w:pPr>
      <w:r>
        <w:rPr>
          <w:rFonts w:hint="eastAsia"/>
          <w:lang w:val="en-US" w:eastAsia="zh-CN"/>
        </w:rPr>
        <w:t>验收合格后</w:t>
      </w:r>
      <w:r>
        <w:rPr>
          <w:rFonts w:hint="eastAsia"/>
          <w:lang w:eastAsia="zh-CN"/>
        </w:rPr>
        <w:t>，</w:t>
      </w:r>
      <w:r>
        <w:rPr>
          <w:rFonts w:hint="eastAsia"/>
        </w:rPr>
        <w:t>采购人</w:t>
      </w:r>
      <w:r>
        <w:rPr>
          <w:rFonts w:hint="eastAsia"/>
          <w:lang w:val="en-US" w:eastAsia="zh-CN"/>
        </w:rPr>
        <w:t>在收到成交供应商提供合同复印件、验收报告、发票等</w:t>
      </w:r>
      <w:r>
        <w:rPr>
          <w:rFonts w:hint="eastAsia"/>
        </w:rPr>
        <w:t>付款凭证</w:t>
      </w:r>
      <w:r>
        <w:rPr>
          <w:rFonts w:hint="eastAsia"/>
          <w:lang w:val="en-US" w:eastAsia="zh-CN"/>
        </w:rPr>
        <w:t>后在15</w:t>
      </w:r>
      <w:r>
        <w:rPr>
          <w:rFonts w:hint="eastAsia"/>
        </w:rPr>
        <w:t>日内</w:t>
      </w:r>
      <w:r>
        <w:rPr>
          <w:rFonts w:hint="eastAsia"/>
          <w:lang w:val="en-US" w:eastAsia="zh-CN"/>
        </w:rPr>
        <w:t>支付合同的全部金额</w:t>
      </w:r>
      <w:r>
        <w:rPr>
          <w:rFonts w:hint="eastAsia"/>
        </w:rPr>
        <w:t>。</w:t>
      </w:r>
    </w:p>
    <w:p w14:paraId="03518975">
      <w:pPr>
        <w:numPr>
          <w:ilvl w:val="0"/>
          <w:numId w:val="22"/>
        </w:numPr>
        <w:ind w:left="425" w:leftChars="0" w:hanging="425" w:firstLineChars="0"/>
        <w:rPr>
          <w:rFonts w:hint="eastAsia"/>
          <w:lang w:val="en-US" w:eastAsia="zh-CN"/>
        </w:rPr>
      </w:pPr>
      <w:r>
        <w:rPr>
          <w:rFonts w:hint="eastAsia"/>
        </w:rPr>
        <w:t>验收要求：</w:t>
      </w:r>
    </w:p>
    <w:p w14:paraId="42F687D4">
      <w:pPr>
        <w:numPr>
          <w:numId w:val="0"/>
        </w:numPr>
        <w:ind w:leftChars="0" w:firstLine="420" w:firstLineChars="200"/>
        <w:rPr>
          <w:rFonts w:hint="eastAsia"/>
          <w:lang w:val="en-US" w:eastAsia="zh-CN"/>
        </w:rPr>
      </w:pPr>
      <w:r>
        <w:rPr>
          <w:rFonts w:hint="eastAsia"/>
        </w:rPr>
        <w:t>在该项目达到合同约定的验收条件后，标准应按照国家的相关规定要求（财政部关于进一步加强政府采购需求和履约验收管理的指导意见（财库【2016】205号）、市政务服务管理局《关于规范政务信息化项目建设方案编制审核验收管理工作的函》（绵政监函【2020】81号）、《绵阳市财政局关于进一步做好政府采购项目履约验收工作的通知》(绵财采〔2021〕15号)的要求）进行验收</w:t>
      </w:r>
      <w:r>
        <w:rPr>
          <w:rFonts w:hint="eastAsia"/>
          <w:lang w:eastAsia="zh-CN"/>
        </w:rPr>
        <w:t>，</w:t>
      </w:r>
      <w:r>
        <w:rPr>
          <w:rFonts w:hint="eastAsia"/>
          <w:lang w:val="en-US" w:eastAsia="zh-CN"/>
        </w:rPr>
        <w:t>验收内容应满足合同规定的技术要求。</w:t>
      </w:r>
    </w:p>
    <w:p w14:paraId="781508C6">
      <w:pPr>
        <w:keepNext w:val="0"/>
        <w:keepLines w:val="0"/>
        <w:pageBreakBefore w:val="0"/>
        <w:widowControl/>
        <w:numPr>
          <w:ilvl w:val="0"/>
          <w:numId w:val="0"/>
        </w:numPr>
        <w:kinsoku/>
        <w:wordWrap/>
        <w:overflowPunct/>
        <w:topLinePunct w:val="0"/>
        <w:autoSpaceDE/>
        <w:autoSpaceDN/>
        <w:bidi w:val="0"/>
        <w:adjustRightInd/>
        <w:snapToGrid w:val="0"/>
        <w:spacing w:line="400" w:lineRule="exact"/>
        <w:ind w:firstLine="480" w:firstLineChars="200"/>
        <w:textAlignment w:val="auto"/>
        <w:rPr>
          <w:rFonts w:hint="eastAsia" w:ascii="仿宋" w:hAnsi="仿宋" w:eastAsia="仿宋" w:cs="仿宋"/>
          <w:kern w:val="2"/>
          <w:sz w:val="24"/>
          <w:szCs w:val="24"/>
          <w:lang w:val="en-US" w:eastAsia="zh-CN" w:bidi="ar-SA"/>
        </w:rPr>
      </w:pPr>
    </w:p>
    <w:p w14:paraId="0178A5B3">
      <w:pPr>
        <w:pStyle w:val="18"/>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5373F20A">
      <w:pPr>
        <w:pStyle w:val="18"/>
        <w:ind w:firstLine="420" w:firstLineChars="200"/>
      </w:pPr>
      <w:r>
        <w:br w:type="page"/>
      </w:r>
      <w:bookmarkStart w:id="86" w:name="_GoBack"/>
      <w:bookmarkEnd w:id="86"/>
    </w:p>
    <w:p w14:paraId="4A80F053">
      <w:pPr>
        <w:pStyle w:val="5"/>
        <w:numPr>
          <w:ilvl w:val="0"/>
          <w:numId w:val="0"/>
        </w:numPr>
        <w:ind w:left="402"/>
      </w:pPr>
      <w:bookmarkStart w:id="10" w:name="_Toc3094"/>
      <w:bookmarkStart w:id="11" w:name="_Toc22827"/>
      <w:bookmarkStart w:id="12" w:name="_Toc16344"/>
      <w:r>
        <w:rPr>
          <w:rFonts w:hint="eastAsia"/>
        </w:rPr>
        <w:t>第五章 响应文件格式</w:t>
      </w:r>
      <w:bookmarkEnd w:id="10"/>
      <w:bookmarkEnd w:id="11"/>
      <w:bookmarkEnd w:id="12"/>
    </w:p>
    <w:p w14:paraId="35B6733D">
      <w:pPr>
        <w:spacing w:line="700" w:lineRule="exact"/>
        <w:rPr>
          <w:rFonts w:ascii="仿宋" w:hAnsi="仿宋" w:eastAsia="仿宋" w:cs="仿宋"/>
          <w:b/>
          <w:bCs/>
          <w:sz w:val="32"/>
          <w:szCs w:val="32"/>
        </w:rPr>
      </w:pPr>
    </w:p>
    <w:p w14:paraId="41531B40">
      <w:pPr>
        <w:jc w:val="left"/>
        <w:rPr>
          <w:rFonts w:ascii="仿宋" w:hAnsi="仿宋" w:eastAsia="仿宋" w:cs="仿宋"/>
          <w:sz w:val="28"/>
          <w:szCs w:val="24"/>
        </w:rPr>
      </w:pPr>
      <w:bookmarkStart w:id="13" w:name="_Toc4960"/>
      <w:bookmarkStart w:id="14" w:name="_Toc5913"/>
      <w:bookmarkStart w:id="15" w:name="_Toc29819"/>
      <w:r>
        <w:rPr>
          <w:rFonts w:hint="eastAsia" w:ascii="仿宋" w:hAnsi="仿宋" w:eastAsia="仿宋" w:cs="仿宋"/>
          <w:sz w:val="28"/>
          <w:szCs w:val="24"/>
        </w:rPr>
        <w:t>（响应文件封面）</w:t>
      </w:r>
      <w:bookmarkEnd w:id="13"/>
      <w:bookmarkEnd w:id="14"/>
      <w:bookmarkEnd w:id="15"/>
    </w:p>
    <w:p w14:paraId="7468A3D6">
      <w:pPr>
        <w:rPr>
          <w:rFonts w:ascii="仿宋" w:hAnsi="仿宋" w:eastAsia="仿宋" w:cs="仿宋"/>
          <w:sz w:val="28"/>
          <w:szCs w:val="28"/>
        </w:rPr>
      </w:pPr>
    </w:p>
    <w:p w14:paraId="181DBC1A">
      <w:pPr>
        <w:jc w:val="left"/>
        <w:rPr>
          <w:rFonts w:ascii="仿宋" w:hAnsi="仿宋" w:eastAsia="仿宋" w:cs="仿宋"/>
          <w:sz w:val="24"/>
          <w:szCs w:val="24"/>
        </w:rPr>
      </w:pPr>
      <w:bookmarkStart w:id="16" w:name="_Toc9428"/>
      <w:bookmarkStart w:id="17" w:name="_Toc30609"/>
      <w:bookmarkStart w:id="18" w:name="_Toc19851"/>
      <w:r>
        <w:rPr>
          <w:rFonts w:hint="eastAsia" w:ascii="仿宋" w:hAnsi="仿宋" w:eastAsia="仿宋" w:cs="仿宋"/>
          <w:sz w:val="24"/>
          <w:szCs w:val="24"/>
        </w:rPr>
        <w:t>项目名称：</w:t>
      </w:r>
      <w:bookmarkEnd w:id="16"/>
      <w:bookmarkEnd w:id="17"/>
      <w:bookmarkEnd w:id="18"/>
    </w:p>
    <w:p w14:paraId="48AA0BF5">
      <w:pPr>
        <w:jc w:val="left"/>
        <w:rPr>
          <w:rFonts w:ascii="仿宋" w:hAnsi="仿宋" w:eastAsia="仿宋" w:cs="仿宋"/>
          <w:sz w:val="24"/>
          <w:szCs w:val="24"/>
        </w:rPr>
      </w:pPr>
      <w:bookmarkStart w:id="19" w:name="_Toc1544"/>
      <w:bookmarkStart w:id="20" w:name="_Toc32352"/>
      <w:bookmarkStart w:id="21" w:name="_Toc9041"/>
    </w:p>
    <w:p w14:paraId="7709ACD0">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1E53659F">
      <w:pPr>
        <w:rPr>
          <w:rFonts w:ascii="仿宋" w:hAnsi="仿宋" w:eastAsia="仿宋" w:cs="仿宋"/>
        </w:rPr>
      </w:pPr>
    </w:p>
    <w:p w14:paraId="21DD66CF">
      <w:pPr>
        <w:rPr>
          <w:rFonts w:ascii="仿宋" w:hAnsi="仿宋" w:eastAsia="仿宋" w:cs="仿宋"/>
        </w:rPr>
      </w:pPr>
    </w:p>
    <w:p w14:paraId="6D6675C0">
      <w:pPr>
        <w:rPr>
          <w:rFonts w:ascii="仿宋" w:hAnsi="仿宋" w:eastAsia="仿宋" w:cs="仿宋"/>
        </w:rPr>
      </w:pPr>
    </w:p>
    <w:p w14:paraId="4C5CC187">
      <w:pPr>
        <w:jc w:val="left"/>
        <w:rPr>
          <w:rFonts w:ascii="仿宋" w:hAnsi="仿宋" w:eastAsia="仿宋" w:cs="仿宋"/>
          <w:sz w:val="84"/>
          <w:szCs w:val="24"/>
        </w:rPr>
      </w:pPr>
      <w:bookmarkStart w:id="22" w:name="_Toc24097"/>
      <w:bookmarkStart w:id="23" w:name="_Toc21472"/>
    </w:p>
    <w:bookmarkEnd w:id="22"/>
    <w:bookmarkEnd w:id="23"/>
    <w:p w14:paraId="4587500C">
      <w:pPr>
        <w:jc w:val="center"/>
        <w:rPr>
          <w:rFonts w:ascii="仿宋" w:hAnsi="仿宋" w:eastAsia="仿宋" w:cs="仿宋"/>
          <w:sz w:val="96"/>
          <w:szCs w:val="24"/>
        </w:rPr>
      </w:pPr>
      <w:r>
        <w:rPr>
          <w:rFonts w:hint="eastAsia" w:ascii="仿宋" w:hAnsi="仿宋" w:eastAsia="仿宋" w:cs="仿宋"/>
          <w:sz w:val="96"/>
          <w:szCs w:val="24"/>
        </w:rPr>
        <w:t>响应文件</w:t>
      </w:r>
    </w:p>
    <w:p w14:paraId="6F65FB6C">
      <w:pPr>
        <w:rPr>
          <w:rFonts w:ascii="仿宋" w:hAnsi="仿宋" w:eastAsia="仿宋" w:cs="仿宋"/>
        </w:rPr>
      </w:pPr>
    </w:p>
    <w:p w14:paraId="6927BBDB">
      <w:pPr>
        <w:rPr>
          <w:rFonts w:ascii="仿宋" w:hAnsi="仿宋" w:eastAsia="仿宋" w:cs="仿宋"/>
        </w:rPr>
      </w:pPr>
    </w:p>
    <w:p w14:paraId="7E9A4F4E">
      <w:pPr>
        <w:rPr>
          <w:rFonts w:ascii="仿宋" w:hAnsi="仿宋" w:eastAsia="仿宋" w:cs="仿宋"/>
        </w:rPr>
      </w:pPr>
    </w:p>
    <w:p w14:paraId="161032DC">
      <w:pPr>
        <w:rPr>
          <w:rFonts w:ascii="仿宋" w:hAnsi="仿宋" w:eastAsia="仿宋" w:cs="仿宋"/>
        </w:rPr>
      </w:pPr>
    </w:p>
    <w:p w14:paraId="773C270E">
      <w:pPr>
        <w:rPr>
          <w:rFonts w:ascii="仿宋" w:hAnsi="仿宋" w:eastAsia="仿宋" w:cs="仿宋"/>
        </w:rPr>
      </w:pPr>
    </w:p>
    <w:p w14:paraId="24735EC1">
      <w:pPr>
        <w:rPr>
          <w:rFonts w:ascii="仿宋" w:hAnsi="仿宋" w:eastAsia="仿宋" w:cs="仿宋"/>
        </w:rPr>
      </w:pPr>
    </w:p>
    <w:p w14:paraId="796E8D19">
      <w:pPr>
        <w:jc w:val="left"/>
        <w:rPr>
          <w:rFonts w:ascii="仿宋" w:hAnsi="仿宋" w:eastAsia="仿宋" w:cs="仿宋"/>
          <w:sz w:val="28"/>
          <w:szCs w:val="24"/>
        </w:rPr>
      </w:pPr>
      <w:bookmarkStart w:id="24" w:name="_Toc32749"/>
      <w:bookmarkStart w:id="25" w:name="_Toc1690"/>
      <w:bookmarkStart w:id="26" w:name="_Toc17163"/>
      <w:bookmarkStart w:id="27" w:name="_Toc24859"/>
      <w:r>
        <w:rPr>
          <w:rFonts w:hint="eastAsia" w:ascii="仿宋" w:hAnsi="仿宋" w:eastAsia="仿宋" w:cs="仿宋"/>
          <w:sz w:val="28"/>
          <w:szCs w:val="24"/>
        </w:rPr>
        <w:t>供应商名称（公章）：</w:t>
      </w:r>
      <w:bookmarkEnd w:id="24"/>
      <w:bookmarkEnd w:id="25"/>
      <w:bookmarkEnd w:id="26"/>
      <w:bookmarkEnd w:id="27"/>
    </w:p>
    <w:p w14:paraId="5F094EB8">
      <w:pPr>
        <w:jc w:val="left"/>
        <w:rPr>
          <w:rFonts w:ascii="仿宋" w:hAnsi="仿宋" w:eastAsia="仿宋" w:cs="仿宋"/>
          <w:sz w:val="28"/>
          <w:szCs w:val="24"/>
        </w:rPr>
      </w:pPr>
      <w:bookmarkStart w:id="28" w:name="_Toc24123"/>
      <w:bookmarkStart w:id="29" w:name="_Toc6803"/>
      <w:bookmarkStart w:id="30" w:name="_Toc3558"/>
      <w:bookmarkStart w:id="31" w:name="_Toc17905"/>
      <w:r>
        <w:rPr>
          <w:rFonts w:hint="eastAsia" w:ascii="仿宋" w:hAnsi="仿宋" w:eastAsia="仿宋" w:cs="仿宋"/>
          <w:sz w:val="28"/>
          <w:szCs w:val="24"/>
        </w:rPr>
        <w:t>法定代表人或授权代理人（签字）：</w:t>
      </w:r>
      <w:bookmarkEnd w:id="28"/>
      <w:bookmarkEnd w:id="29"/>
      <w:bookmarkEnd w:id="30"/>
      <w:bookmarkEnd w:id="31"/>
    </w:p>
    <w:p w14:paraId="09FF768D">
      <w:pPr>
        <w:jc w:val="left"/>
        <w:rPr>
          <w:rFonts w:ascii="仿宋" w:hAnsi="仿宋" w:eastAsia="仿宋" w:cs="仿宋"/>
          <w:sz w:val="28"/>
          <w:szCs w:val="24"/>
        </w:rPr>
      </w:pPr>
      <w:bookmarkStart w:id="32" w:name="_Toc27526"/>
      <w:bookmarkStart w:id="33" w:name="_Toc27135"/>
      <w:bookmarkStart w:id="34" w:name="_Toc2989"/>
      <w:bookmarkStart w:id="35" w:name="_Toc5996"/>
      <w:r>
        <w:rPr>
          <w:rFonts w:hint="eastAsia" w:ascii="仿宋" w:hAnsi="仿宋" w:eastAsia="仿宋" w:cs="仿宋"/>
          <w:sz w:val="28"/>
          <w:szCs w:val="24"/>
        </w:rPr>
        <w:t>联系方式（移动电话）：</w:t>
      </w:r>
      <w:bookmarkEnd w:id="32"/>
      <w:bookmarkEnd w:id="33"/>
      <w:bookmarkEnd w:id="34"/>
      <w:bookmarkEnd w:id="35"/>
    </w:p>
    <w:p w14:paraId="73144A11">
      <w:pPr>
        <w:jc w:val="left"/>
        <w:rPr>
          <w:rFonts w:ascii="仿宋" w:hAnsi="仿宋" w:eastAsia="仿宋" w:cs="仿宋"/>
          <w:sz w:val="28"/>
          <w:szCs w:val="24"/>
        </w:rPr>
      </w:pPr>
      <w:bookmarkStart w:id="36" w:name="_Toc5056"/>
      <w:bookmarkStart w:id="37" w:name="_Toc2031"/>
      <w:bookmarkStart w:id="38" w:name="_Toc19987"/>
      <w:bookmarkStart w:id="39" w:name="_Toc7233"/>
      <w:r>
        <w:rPr>
          <w:rFonts w:hint="eastAsia" w:ascii="仿宋" w:hAnsi="仿宋" w:eastAsia="仿宋" w:cs="仿宋"/>
          <w:sz w:val="28"/>
          <w:szCs w:val="24"/>
        </w:rPr>
        <w:t>日期：     年    月     日</w:t>
      </w:r>
      <w:bookmarkEnd w:id="36"/>
      <w:bookmarkEnd w:id="37"/>
      <w:bookmarkEnd w:id="38"/>
      <w:bookmarkEnd w:id="39"/>
    </w:p>
    <w:p w14:paraId="1107A93F">
      <w:pPr>
        <w:jc w:val="center"/>
        <w:rPr>
          <w:rFonts w:ascii="仿宋" w:hAnsi="仿宋" w:eastAsia="仿宋" w:cs="仿宋"/>
          <w:sz w:val="32"/>
          <w:szCs w:val="40"/>
        </w:rPr>
      </w:pPr>
      <w:bookmarkStart w:id="40" w:name="_Toc16029"/>
      <w:bookmarkStart w:id="41" w:name="_Toc3023"/>
      <w:bookmarkStart w:id="42" w:name="_Toc11352"/>
      <w:bookmarkStart w:id="43" w:name="_Toc14829"/>
      <w:bookmarkStart w:id="44" w:name="_Toc21519"/>
      <w:bookmarkStart w:id="45" w:name="_Toc6482"/>
    </w:p>
    <w:p w14:paraId="331C58D4">
      <w:pPr>
        <w:rPr>
          <w:rStyle w:val="32"/>
          <w:rFonts w:ascii="仿宋" w:hAnsi="仿宋" w:eastAsia="仿宋" w:cs="仿宋"/>
          <w:b/>
          <w:bCs/>
          <w:sz w:val="32"/>
          <w:szCs w:val="28"/>
        </w:rPr>
      </w:pPr>
      <w:r>
        <w:rPr>
          <w:rStyle w:val="32"/>
          <w:rFonts w:hint="eastAsia" w:ascii="仿宋" w:hAnsi="仿宋" w:eastAsia="仿宋" w:cs="仿宋"/>
          <w:b/>
          <w:bCs/>
          <w:sz w:val="32"/>
          <w:szCs w:val="28"/>
        </w:rPr>
        <w:br w:type="page"/>
      </w:r>
    </w:p>
    <w:p w14:paraId="62B18817">
      <w:pPr>
        <w:pStyle w:val="6"/>
        <w:ind w:firstLine="0"/>
      </w:pPr>
      <w:r>
        <w:rPr>
          <w:rFonts w:hint="eastAsia"/>
        </w:rPr>
        <w:t>承诺函</w:t>
      </w:r>
      <w:bookmarkEnd w:id="40"/>
      <w:bookmarkEnd w:id="41"/>
      <w:bookmarkEnd w:id="42"/>
      <w:bookmarkEnd w:id="43"/>
      <w:bookmarkEnd w:id="44"/>
      <w:bookmarkEnd w:id="45"/>
    </w:p>
    <w:p w14:paraId="5C57FE19">
      <w:pPr>
        <w:pStyle w:val="10"/>
        <w:rPr>
          <w:rFonts w:ascii="仿宋" w:hAnsi="仿宋" w:eastAsia="仿宋" w:cs="仿宋"/>
        </w:rPr>
      </w:pPr>
    </w:p>
    <w:p w14:paraId="4CE7F9A3">
      <w:pPr>
        <w:spacing w:line="360" w:lineRule="auto"/>
        <w:rPr>
          <w:rFonts w:ascii="仿宋" w:hAnsi="仿宋" w:eastAsia="仿宋" w:cs="仿宋"/>
          <w:sz w:val="24"/>
        </w:rPr>
      </w:pPr>
      <w:r>
        <w:rPr>
          <w:rFonts w:hint="eastAsia" w:ascii="仿宋" w:hAnsi="仿宋" w:eastAsia="仿宋" w:cs="仿宋"/>
          <w:sz w:val="24"/>
        </w:rPr>
        <w:t>致绵阳市中心医院：</w:t>
      </w:r>
    </w:p>
    <w:p w14:paraId="6D92BF3E">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5EA035F5">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3A93176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5644C97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4F4B22D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759CC20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340D47C9">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3447D2F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675C77BB">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（7）根据采购项目提出的特殊条件。</w:t>
      </w:r>
    </w:p>
    <w:p w14:paraId="6372E34F">
      <w:pPr>
        <w:pStyle w:val="10"/>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1A67AC7A">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2.我方已认真阅读并接受本项目谈判文件的全部实质性要求，如对谈判文件有异议，已依法进行维权救济，不存在对谈判文件有异议的同时又参加谈判以求侥幸成交或者为实现其他非法目的的行为。</w:t>
      </w:r>
    </w:p>
    <w:p w14:paraId="1B508DD6">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3.本项目谈判有效期为90天。</w:t>
      </w:r>
    </w:p>
    <w:p w14:paraId="2E5D1769">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6851A221">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谈判文件要求导致未能成交的，我方愿意承担相应不利后果。</w:t>
      </w:r>
    </w:p>
    <w:p w14:paraId="578F8262">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52EECF8D">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7.参加本次采购活动，我方完全同意谈判文件“合同分包”、“合同转包”的实质性要求，并承诺严格按照谈判文件要求履行。</w:t>
      </w:r>
    </w:p>
    <w:p w14:paraId="6A70824E">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谈判文件特别规定，采购人享有本项目实施过程中产生的知识成果及知识产权。如我方在采购项目实施过程中采用自有或者第三方知识产权的，使用该知识产权后，我方承诺提供开发接口和开发手册等技术资料，并提供无限期支持，采购人享有使用权（含采购人委托第三方在该项目后续开发的使用权）。如我方在项目实施过程中采用非自有的知识产权，则在报价中已包括合法获取该知识产权的相关费用。</w:t>
      </w:r>
    </w:p>
    <w:p w14:paraId="6B6CDC4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9.我方自愿按照谈判文件规定的各项要求向采购人提供所需货物和服务。</w:t>
      </w:r>
    </w:p>
    <w:p w14:paraId="4CB59659">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17FD1220">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11.我方愿意提供贵单位可能另外要求的，与谈判有关的文件资料，并保证我方已提供和将要提供的文件资料是真实、准确的。</w:t>
      </w:r>
    </w:p>
    <w:p w14:paraId="3EB38F62">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28BF1581">
      <w:pPr>
        <w:adjustRightInd w:val="0"/>
        <w:spacing w:line="360" w:lineRule="auto"/>
        <w:rPr>
          <w:rFonts w:ascii="仿宋" w:hAnsi="仿宋" w:eastAsia="仿宋" w:cs="仿宋"/>
          <w:bCs/>
          <w:sz w:val="24"/>
        </w:rPr>
      </w:pPr>
    </w:p>
    <w:p w14:paraId="1C4E222F">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6EDB9FE2">
      <w:pPr>
        <w:pStyle w:val="10"/>
        <w:jc w:val="left"/>
        <w:rPr>
          <w:rFonts w:ascii="仿宋" w:hAnsi="仿宋" w:eastAsia="仿宋" w:cs="仿宋"/>
          <w:sz w:val="24"/>
        </w:rPr>
      </w:pPr>
      <w:r>
        <w:rPr>
          <w:rFonts w:hint="eastAsia" w:ascii="仿宋" w:hAnsi="仿宋" w:eastAsia="仿宋" w:cs="仿宋"/>
          <w:bCs/>
          <w:sz w:val="24"/>
        </w:rPr>
        <w:t>时间：</w:t>
      </w:r>
    </w:p>
    <w:p w14:paraId="0C21B068">
      <w:bookmarkStart w:id="46" w:name="_Toc17857"/>
      <w:bookmarkStart w:id="47" w:name="_Toc22676"/>
      <w:bookmarkStart w:id="48" w:name="_Toc30971"/>
      <w:bookmarkStart w:id="49" w:name="_Toc31838"/>
      <w:bookmarkStart w:id="50" w:name="_Toc4305"/>
      <w:r>
        <w:rPr>
          <w:rFonts w:hint="eastAsia"/>
        </w:rPr>
        <w:br w:type="page"/>
      </w:r>
    </w:p>
    <w:p w14:paraId="6576E327">
      <w:pPr>
        <w:pStyle w:val="6"/>
        <w:ind w:left="-1" w:firstLine="0"/>
      </w:pPr>
      <w:r>
        <w:rPr>
          <w:rFonts w:hint="eastAsia"/>
        </w:rPr>
        <w:t>具有独立承担民事责任的能力</w:t>
      </w:r>
      <w:bookmarkEnd w:id="46"/>
      <w:bookmarkEnd w:id="47"/>
      <w:bookmarkEnd w:id="48"/>
      <w:bookmarkEnd w:id="49"/>
      <w:bookmarkEnd w:id="50"/>
    </w:p>
    <w:p w14:paraId="55AE8E40">
      <w:pPr>
        <w:pStyle w:val="10"/>
        <w:jc w:val="center"/>
        <w:rPr>
          <w:rFonts w:ascii="仿宋" w:hAnsi="仿宋" w:eastAsia="仿宋" w:cs="仿宋"/>
          <w:b/>
          <w:bCs/>
        </w:rPr>
      </w:pPr>
    </w:p>
    <w:p w14:paraId="5B78A276">
      <w:pPr>
        <w:jc w:val="center"/>
        <w:rPr>
          <w:rStyle w:val="32"/>
          <w:rFonts w:ascii="仿宋" w:hAnsi="仿宋" w:eastAsia="仿宋" w:cs="仿宋"/>
          <w:sz w:val="32"/>
          <w:szCs w:val="28"/>
        </w:rPr>
      </w:pPr>
      <w:r>
        <w:rPr>
          <w:rFonts w:hint="eastAsia" w:ascii="仿宋" w:hAnsi="仿宋" w:eastAsia="仿宋" w:cs="仿宋"/>
          <w:sz w:val="32"/>
          <w:szCs w:val="36"/>
        </w:rPr>
        <w:t>（按第三章要求提供）</w:t>
      </w:r>
    </w:p>
    <w:p w14:paraId="594C0C0A">
      <w:pPr>
        <w:pStyle w:val="6"/>
        <w:ind w:firstLine="0"/>
        <w:rPr>
          <w:rStyle w:val="32"/>
          <w:rFonts w:ascii="仿宋" w:hAnsi="仿宋" w:cs="仿宋"/>
          <w:szCs w:val="28"/>
        </w:rPr>
      </w:pPr>
      <w:r>
        <w:rPr>
          <w:rFonts w:hint="eastAsia" w:ascii="仿宋" w:hAnsi="仿宋" w:cs="仿宋"/>
          <w:bCs/>
        </w:rPr>
        <w:br w:type="page"/>
      </w:r>
      <w:bookmarkStart w:id="51" w:name="_Toc15613"/>
      <w:bookmarkStart w:id="52" w:name="_Toc27186"/>
      <w:bookmarkStart w:id="53" w:name="_Toc30158"/>
      <w:r>
        <w:rPr>
          <w:rFonts w:hint="eastAsia"/>
        </w:rPr>
        <w:t>具有健全的财务会计制度的证明材料</w:t>
      </w:r>
    </w:p>
    <w:p w14:paraId="59B6E2E3">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13706"/>
      <w:bookmarkStart w:id="55" w:name="_Toc25357"/>
      <w:bookmarkStart w:id="56" w:name="_Toc13904"/>
    </w:p>
    <w:p w14:paraId="5772BECF">
      <w:pPr>
        <w:pStyle w:val="6"/>
        <w:ind w:firstLine="0"/>
      </w:pPr>
      <w:bookmarkStart w:id="57" w:name="_Toc15508"/>
      <w:bookmarkStart w:id="58" w:name="_Toc23146"/>
      <w:r>
        <w:rPr>
          <w:rFonts w:hint="eastAsia"/>
        </w:rPr>
        <w:t>本项目其他资格条件提供的证明材料</w:t>
      </w:r>
      <w:bookmarkEnd w:id="53"/>
      <w:bookmarkEnd w:id="54"/>
      <w:bookmarkEnd w:id="55"/>
      <w:bookmarkEnd w:id="56"/>
      <w:bookmarkEnd w:id="57"/>
      <w:bookmarkEnd w:id="58"/>
    </w:p>
    <w:p w14:paraId="1297E19C">
      <w:pPr>
        <w:pStyle w:val="10"/>
        <w:rPr>
          <w:rFonts w:ascii="仿宋" w:hAnsi="仿宋" w:eastAsia="仿宋" w:cs="仿宋"/>
        </w:rPr>
      </w:pPr>
    </w:p>
    <w:p w14:paraId="779EAA5C">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23319474">
      <w:pPr>
        <w:pStyle w:val="31"/>
        <w:ind w:left="420" w:leftChars="200"/>
        <w:jc w:val="both"/>
        <w:rPr>
          <w:rFonts w:ascii="仿宋" w:hAnsi="仿宋" w:eastAsia="仿宋" w:cs="仿宋"/>
          <w:color w:val="auto"/>
        </w:rPr>
      </w:pPr>
    </w:p>
    <w:p w14:paraId="350F3BA8">
      <w:pPr>
        <w:pStyle w:val="31"/>
        <w:jc w:val="both"/>
        <w:rPr>
          <w:rFonts w:ascii="仿宋" w:hAnsi="仿宋" w:eastAsia="仿宋" w:cs="仿宋"/>
          <w:iCs/>
          <w:color w:val="auto"/>
        </w:rPr>
      </w:pPr>
      <w:r>
        <w:rPr>
          <w:rFonts w:hint="eastAsia" w:ascii="仿宋" w:hAnsi="仿宋" w:eastAsia="仿宋" w:cs="仿宋"/>
          <w:iCs/>
          <w:color w:val="auto"/>
        </w:rPr>
        <w:t>（若未涉及，填“无”即可）</w:t>
      </w:r>
    </w:p>
    <w:p w14:paraId="5D8DCE98">
      <w:pPr>
        <w:pStyle w:val="6"/>
        <w:ind w:firstLine="0"/>
        <w:rPr>
          <w:rFonts w:ascii="仿宋" w:hAnsi="仿宋" w:cs="仿宋"/>
          <w:szCs w:val="32"/>
        </w:rPr>
      </w:pPr>
      <w:r>
        <w:rPr>
          <w:rFonts w:hint="eastAsia" w:ascii="仿宋" w:hAnsi="仿宋" w:cs="仿宋"/>
          <w:szCs w:val="32"/>
        </w:rPr>
        <w:br w:type="page"/>
      </w:r>
      <w:bookmarkStart w:id="59" w:name="_Toc15526"/>
      <w:bookmarkStart w:id="60" w:name="_Toc27661"/>
      <w:bookmarkStart w:id="61" w:name="_Toc12015"/>
      <w:bookmarkStart w:id="62" w:name="_Toc25638"/>
      <w:bookmarkStart w:id="63" w:name="_Toc20589"/>
      <w:bookmarkStart w:id="64" w:name="_Toc11351"/>
      <w:r>
        <w:rPr>
          <w:rStyle w:val="40"/>
          <w:rFonts w:hint="eastAsia"/>
          <w:b/>
        </w:rPr>
        <w:t>法定代表人身份证明书</w:t>
      </w:r>
      <w:bookmarkEnd w:id="59"/>
      <w:bookmarkEnd w:id="60"/>
      <w:bookmarkEnd w:id="61"/>
      <w:bookmarkEnd w:id="62"/>
      <w:bookmarkEnd w:id="63"/>
      <w:bookmarkEnd w:id="64"/>
    </w:p>
    <w:p w14:paraId="695021DB">
      <w:pPr>
        <w:pStyle w:val="31"/>
        <w:jc w:val="center"/>
        <w:rPr>
          <w:rFonts w:ascii="仿宋" w:hAnsi="仿宋" w:eastAsia="仿宋" w:cs="仿宋"/>
          <w:color w:val="auto"/>
        </w:rPr>
      </w:pPr>
    </w:p>
    <w:p w14:paraId="2B7D8DCC">
      <w:pPr>
        <w:pStyle w:val="31"/>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38B2DE11">
      <w:pPr>
        <w:pStyle w:val="31"/>
        <w:jc w:val="center"/>
        <w:rPr>
          <w:rFonts w:ascii="仿宋" w:hAnsi="仿宋" w:eastAsia="仿宋" w:cs="仿宋"/>
          <w:color w:val="auto"/>
        </w:rPr>
      </w:pPr>
    </w:p>
    <w:p w14:paraId="486C9B47">
      <w:pPr>
        <w:pStyle w:val="31"/>
        <w:jc w:val="center"/>
        <w:rPr>
          <w:rFonts w:ascii="仿宋" w:hAnsi="仿宋" w:eastAsia="仿宋" w:cs="仿宋"/>
          <w:color w:val="auto"/>
        </w:rPr>
      </w:pPr>
    </w:p>
    <w:p w14:paraId="29EC16A4">
      <w:pPr>
        <w:pStyle w:val="31"/>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E6F24BD">
      <w:pPr>
        <w:pStyle w:val="31"/>
        <w:rPr>
          <w:rFonts w:ascii="仿宋" w:hAnsi="仿宋" w:eastAsia="仿宋" w:cs="仿宋"/>
          <w:color w:val="auto"/>
        </w:rPr>
      </w:pPr>
      <w:r>
        <w:rPr>
          <w:rFonts w:hint="eastAsia" w:ascii="仿宋" w:hAnsi="仿宋" w:eastAsia="仿宋" w:cs="仿宋"/>
          <w:color w:val="auto"/>
        </w:rPr>
        <w:t>特此证明。</w:t>
      </w:r>
    </w:p>
    <w:p w14:paraId="034A31F2">
      <w:pPr>
        <w:pStyle w:val="31"/>
        <w:jc w:val="both"/>
        <w:rPr>
          <w:rFonts w:ascii="仿宋" w:hAnsi="仿宋" w:eastAsia="仿宋" w:cs="仿宋"/>
          <w:color w:val="auto"/>
        </w:rPr>
      </w:pPr>
    </w:p>
    <w:p w14:paraId="72E9DDA8">
      <w:pPr>
        <w:pStyle w:val="31"/>
        <w:jc w:val="both"/>
        <w:rPr>
          <w:rFonts w:ascii="仿宋" w:hAnsi="仿宋" w:eastAsia="仿宋" w:cs="仿宋"/>
          <w:color w:val="auto"/>
        </w:rPr>
      </w:pPr>
    </w:p>
    <w:p w14:paraId="1B9835D6">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A2DB029">
      <w:pPr>
        <w:pStyle w:val="10"/>
        <w:jc w:val="left"/>
        <w:rPr>
          <w:rFonts w:ascii="仿宋" w:hAnsi="仿宋" w:eastAsia="仿宋" w:cs="仿宋"/>
          <w:sz w:val="24"/>
        </w:rPr>
      </w:pPr>
      <w:r>
        <w:rPr>
          <w:rFonts w:hint="eastAsia" w:ascii="仿宋" w:hAnsi="仿宋" w:eastAsia="仿宋" w:cs="仿宋"/>
          <w:bCs/>
          <w:sz w:val="24"/>
        </w:rPr>
        <w:t>时间：</w:t>
      </w:r>
    </w:p>
    <w:p w14:paraId="4C3483C2">
      <w:pPr>
        <w:pStyle w:val="31"/>
        <w:jc w:val="center"/>
        <w:rPr>
          <w:rFonts w:ascii="仿宋" w:hAnsi="仿宋" w:eastAsia="仿宋" w:cs="仿宋"/>
          <w:color w:val="auto"/>
        </w:rPr>
      </w:pPr>
    </w:p>
    <w:p w14:paraId="36C2B848">
      <w:pPr>
        <w:pStyle w:val="31"/>
        <w:jc w:val="center"/>
        <w:rPr>
          <w:rFonts w:ascii="仿宋" w:hAnsi="仿宋" w:eastAsia="仿宋" w:cs="仿宋"/>
          <w:color w:val="auto"/>
        </w:rPr>
      </w:pPr>
    </w:p>
    <w:p w14:paraId="0517321D">
      <w:pPr>
        <w:pStyle w:val="31"/>
        <w:rPr>
          <w:rFonts w:ascii="仿宋" w:hAnsi="仿宋" w:eastAsia="仿宋" w:cs="仿宋"/>
          <w:color w:val="auto"/>
        </w:rPr>
      </w:pPr>
      <w:r>
        <w:rPr>
          <w:rFonts w:hint="eastAsia" w:ascii="仿宋" w:hAnsi="仿宋" w:eastAsia="仿宋" w:cs="仿宋"/>
          <w:color w:val="auto"/>
        </w:rPr>
        <w:t>注：</w:t>
      </w:r>
    </w:p>
    <w:p w14:paraId="24E10A71">
      <w:pPr>
        <w:pStyle w:val="31"/>
        <w:rPr>
          <w:rFonts w:ascii="仿宋" w:hAnsi="仿宋" w:eastAsia="仿宋" w:cs="仿宋"/>
          <w:color w:val="auto"/>
        </w:rPr>
      </w:pPr>
      <w:r>
        <w:rPr>
          <w:rFonts w:hint="eastAsia" w:ascii="仿宋" w:hAnsi="仿宋" w:eastAsia="仿宋" w:cs="仿宋"/>
          <w:color w:val="auto"/>
        </w:rPr>
        <w:t>1.供应商为自然人时提供“自然人身份证明材料”。</w:t>
      </w:r>
    </w:p>
    <w:p w14:paraId="5FB1BBBE">
      <w:pPr>
        <w:pStyle w:val="31"/>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53A2D382">
      <w:pPr>
        <w:pStyle w:val="31"/>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E8F28E3">
      <w:pPr>
        <w:pStyle w:val="31"/>
        <w:jc w:val="both"/>
        <w:rPr>
          <w:rFonts w:ascii="仿宋" w:hAnsi="仿宋" w:eastAsia="仿宋" w:cs="仿宋"/>
          <w:color w:val="auto"/>
          <w:sz w:val="32"/>
          <w:szCs w:val="32"/>
        </w:rPr>
      </w:pPr>
    </w:p>
    <w:p w14:paraId="3ABE58DF">
      <w:pPr>
        <w:pStyle w:val="31"/>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2"/>
          <w:rFonts w:hint="eastAsia" w:ascii="仿宋" w:hAnsi="仿宋" w:eastAsia="仿宋" w:cs="仿宋"/>
          <w:b/>
          <w:bCs/>
          <w:color w:val="auto"/>
          <w:kern w:val="2"/>
          <w:sz w:val="32"/>
          <w:szCs w:val="28"/>
        </w:rPr>
        <w:t>法定代表人授权委托书</w:t>
      </w:r>
    </w:p>
    <w:p w14:paraId="50A12620">
      <w:pPr>
        <w:pStyle w:val="31"/>
        <w:jc w:val="center"/>
        <w:rPr>
          <w:rFonts w:ascii="仿宋" w:hAnsi="仿宋" w:eastAsia="仿宋" w:cs="仿宋"/>
          <w:b/>
          <w:bCs/>
          <w:color w:val="auto"/>
        </w:rPr>
      </w:pPr>
    </w:p>
    <w:p w14:paraId="4682A2A9">
      <w:pPr>
        <w:pStyle w:val="31"/>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3E5109C1">
      <w:pPr>
        <w:pStyle w:val="31"/>
        <w:jc w:val="center"/>
        <w:rPr>
          <w:rFonts w:ascii="仿宋" w:hAnsi="仿宋" w:eastAsia="仿宋" w:cs="仿宋"/>
          <w:color w:val="auto"/>
        </w:rPr>
      </w:pPr>
    </w:p>
    <w:p w14:paraId="49D29E8F">
      <w:pPr>
        <w:pStyle w:val="10"/>
        <w:snapToGrid w:val="0"/>
        <w:spacing w:after="0" w:line="500" w:lineRule="exact"/>
        <w:ind w:firstLine="480" w:firstLineChars="200"/>
        <w:rPr>
          <w:rFonts w:ascii="仿宋" w:hAnsi="仿宋" w:eastAsia="仿宋" w:cs="仿宋"/>
          <w:sz w:val="24"/>
        </w:rPr>
      </w:pPr>
    </w:p>
    <w:p w14:paraId="1D6F7AD1">
      <w:pPr>
        <w:pStyle w:val="10"/>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项目的采购活动。委托代理人在采购活动和评审、谈判以及合同签订过程中所签署的一切文件和处理与之有关的一切事务，我及我公司均予以承认，并全部承担其产生的所有权利和义务。</w:t>
      </w:r>
    </w:p>
    <w:p w14:paraId="086BE175">
      <w:pPr>
        <w:pStyle w:val="10"/>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584ED7AC">
      <w:pPr>
        <w:snapToGrid w:val="0"/>
        <w:spacing w:line="560" w:lineRule="exact"/>
        <w:ind w:firstLine="480" w:firstLineChars="200"/>
        <w:rPr>
          <w:rFonts w:ascii="仿宋" w:hAnsi="仿宋" w:eastAsia="仿宋" w:cs="仿宋"/>
          <w:sz w:val="24"/>
        </w:rPr>
      </w:pPr>
    </w:p>
    <w:p w14:paraId="698C0404">
      <w:pPr>
        <w:snapToGrid w:val="0"/>
        <w:spacing w:line="560" w:lineRule="exact"/>
        <w:ind w:firstLine="480" w:firstLineChars="200"/>
        <w:rPr>
          <w:rFonts w:ascii="仿宋" w:hAnsi="仿宋" w:eastAsia="仿宋" w:cs="仿宋"/>
          <w:sz w:val="24"/>
        </w:rPr>
      </w:pPr>
    </w:p>
    <w:p w14:paraId="69E15A84">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5F39E43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317BA29A">
      <w:pPr>
        <w:snapToGrid w:val="0"/>
        <w:spacing w:line="560" w:lineRule="exact"/>
        <w:rPr>
          <w:rFonts w:ascii="仿宋" w:hAnsi="仿宋" w:eastAsia="仿宋" w:cs="仿宋"/>
          <w:sz w:val="24"/>
        </w:rPr>
      </w:pPr>
    </w:p>
    <w:p w14:paraId="4E972307">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4AC24F19">
      <w:pPr>
        <w:snapToGrid w:val="0"/>
        <w:spacing w:line="560" w:lineRule="exact"/>
        <w:rPr>
          <w:rFonts w:ascii="仿宋" w:hAnsi="仿宋" w:eastAsia="仿宋" w:cs="仿宋"/>
          <w:sz w:val="24"/>
        </w:rPr>
      </w:pPr>
      <w:r>
        <w:rPr>
          <w:rFonts w:hint="eastAsia" w:ascii="仿宋" w:hAnsi="仿宋" w:eastAsia="仿宋" w:cs="仿宋"/>
          <w:sz w:val="24"/>
        </w:rPr>
        <w:t>时间：</w:t>
      </w:r>
    </w:p>
    <w:p w14:paraId="13374366">
      <w:pPr>
        <w:pStyle w:val="10"/>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24BE342E">
      <w:pPr>
        <w:pStyle w:val="6"/>
        <w:ind w:firstLine="0"/>
        <w:rPr>
          <w:rStyle w:val="40"/>
          <w:rFonts w:ascii="仿宋" w:hAnsi="仿宋" w:cs="仿宋"/>
          <w:b/>
          <w:szCs w:val="32"/>
        </w:rPr>
      </w:pPr>
      <w:r>
        <w:rPr>
          <w:rFonts w:hint="eastAsia" w:ascii="仿宋" w:hAnsi="仿宋" w:cs="仿宋"/>
          <w:szCs w:val="32"/>
        </w:rPr>
        <w:br w:type="page"/>
      </w:r>
      <w:bookmarkStart w:id="65" w:name="_Toc1074"/>
      <w:bookmarkStart w:id="66" w:name="_Toc12967"/>
      <w:bookmarkStart w:id="67" w:name="_Toc2041"/>
      <w:bookmarkStart w:id="68" w:name="_Toc26969"/>
      <w:bookmarkStart w:id="69" w:name="_Toc16435"/>
      <w:bookmarkStart w:id="70" w:name="_Toc23967"/>
      <w:r>
        <w:rPr>
          <w:rStyle w:val="40"/>
          <w:rFonts w:hint="eastAsia"/>
          <w:b/>
        </w:rPr>
        <w:t>采购需求偏离表</w:t>
      </w:r>
      <w:bookmarkEnd w:id="65"/>
      <w:bookmarkEnd w:id="66"/>
      <w:bookmarkEnd w:id="67"/>
      <w:bookmarkEnd w:id="68"/>
      <w:bookmarkEnd w:id="69"/>
      <w:bookmarkEnd w:id="70"/>
    </w:p>
    <w:p w14:paraId="0E071324">
      <w:pPr>
        <w:pStyle w:val="6"/>
        <w:numPr>
          <w:ilvl w:val="0"/>
          <w:numId w:val="0"/>
        </w:numPr>
        <w:ind w:firstLine="3534" w:firstLineChars="1100"/>
        <w:jc w:val="both"/>
        <w:rPr>
          <w:rFonts w:ascii="仿宋" w:hAnsi="仿宋" w:cs="仿宋"/>
          <w:szCs w:val="32"/>
        </w:rPr>
      </w:pPr>
      <w:r>
        <w:rPr>
          <w:rStyle w:val="40"/>
          <w:rFonts w:hint="eastAsia"/>
          <w:b/>
        </w:rPr>
        <w:t>1、技术或服务要求偏离表</w:t>
      </w:r>
    </w:p>
    <w:p w14:paraId="1D6442D6">
      <w:pPr>
        <w:pStyle w:val="10"/>
        <w:spacing w:line="300" w:lineRule="atLeast"/>
        <w:rPr>
          <w:rFonts w:ascii="仿宋" w:hAnsi="仿宋" w:eastAsia="仿宋" w:cs="仿宋"/>
          <w:kern w:val="0"/>
          <w:sz w:val="24"/>
          <w:lang w:val="zh-TW" w:eastAsia="zh-TW"/>
        </w:rPr>
      </w:pPr>
    </w:p>
    <w:tbl>
      <w:tblPr>
        <w:tblStyle w:val="19"/>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4947202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2C81CF3">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CC19A82">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9577ED1">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C93B7B1">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CA699D">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5407721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B1D6C4">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3488442">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84E7E01">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E9D52F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44BCFA">
            <w:pPr>
              <w:rPr>
                <w:rFonts w:ascii="仿宋" w:hAnsi="仿宋" w:eastAsia="仿宋" w:cs="仿宋"/>
                <w:sz w:val="24"/>
              </w:rPr>
            </w:pPr>
          </w:p>
        </w:tc>
      </w:tr>
      <w:tr w14:paraId="3723E07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358FE4">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5A97184">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6043ABE">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9F65C0C">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8027D19">
            <w:pPr>
              <w:rPr>
                <w:rFonts w:ascii="仿宋" w:hAnsi="仿宋" w:eastAsia="仿宋" w:cs="仿宋"/>
                <w:sz w:val="24"/>
              </w:rPr>
            </w:pPr>
          </w:p>
        </w:tc>
      </w:tr>
      <w:tr w14:paraId="7D29ED6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8679F8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8EB67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9347A59">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AD7D31C">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FDA56F9">
            <w:pPr>
              <w:rPr>
                <w:rFonts w:ascii="仿宋" w:hAnsi="仿宋" w:eastAsia="仿宋" w:cs="仿宋"/>
                <w:sz w:val="24"/>
              </w:rPr>
            </w:pPr>
          </w:p>
        </w:tc>
      </w:tr>
    </w:tbl>
    <w:p w14:paraId="1BB4DEC6">
      <w:pPr>
        <w:spacing w:line="360" w:lineRule="auto"/>
        <w:jc w:val="left"/>
        <w:rPr>
          <w:rFonts w:ascii="仿宋" w:hAnsi="仿宋" w:eastAsia="仿宋" w:cs="仿宋"/>
          <w:bCs/>
          <w:sz w:val="24"/>
        </w:rPr>
      </w:pPr>
    </w:p>
    <w:p w14:paraId="42FB4CF6">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1.供应商必须按采购需求的内容据实填写，不得虚假响应，否则将取消其谈判或成交资格并按规定追究其相关责任。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6DE404D2">
      <w:pPr>
        <w:pStyle w:val="18"/>
        <w:ind w:firstLine="0"/>
        <w:rPr>
          <w:rFonts w:ascii="仿宋" w:hAnsi="仿宋" w:eastAsia="仿宋" w:cs="仿宋"/>
          <w:lang w:val="zh-TW" w:eastAsia="zh-TW"/>
        </w:rPr>
      </w:pPr>
    </w:p>
    <w:p w14:paraId="35A3B39B">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3D5C33A">
      <w:pPr>
        <w:snapToGrid w:val="0"/>
        <w:spacing w:line="560" w:lineRule="exact"/>
        <w:rPr>
          <w:rFonts w:ascii="仿宋" w:hAnsi="仿宋" w:eastAsia="仿宋" w:cs="仿宋"/>
          <w:sz w:val="24"/>
        </w:rPr>
      </w:pPr>
      <w:r>
        <w:rPr>
          <w:rFonts w:hint="eastAsia" w:ascii="仿宋" w:hAnsi="仿宋" w:eastAsia="仿宋" w:cs="仿宋"/>
          <w:sz w:val="24"/>
        </w:rPr>
        <w:t>时间：</w:t>
      </w:r>
    </w:p>
    <w:p w14:paraId="312A199C">
      <w:pPr>
        <w:pStyle w:val="31"/>
        <w:jc w:val="center"/>
        <w:rPr>
          <w:rFonts w:ascii="仿宋" w:hAnsi="仿宋" w:eastAsia="仿宋" w:cs="仿宋"/>
          <w:color w:val="auto"/>
          <w:sz w:val="32"/>
          <w:szCs w:val="32"/>
        </w:rPr>
      </w:pPr>
    </w:p>
    <w:p w14:paraId="615FCF87">
      <w:pPr>
        <w:pStyle w:val="6"/>
        <w:numPr>
          <w:ilvl w:val="0"/>
          <w:numId w:val="0"/>
        </w:numPr>
        <w:ind w:firstLine="3534" w:firstLineChars="1100"/>
        <w:jc w:val="both"/>
        <w:rPr>
          <w:rStyle w:val="40"/>
          <w:b/>
        </w:rPr>
      </w:pPr>
    </w:p>
    <w:p w14:paraId="0853D2E0">
      <w:pPr>
        <w:pStyle w:val="6"/>
        <w:numPr>
          <w:ilvl w:val="0"/>
          <w:numId w:val="0"/>
        </w:numPr>
        <w:ind w:firstLine="3534" w:firstLineChars="1100"/>
        <w:jc w:val="both"/>
        <w:rPr>
          <w:rStyle w:val="40"/>
          <w:b/>
        </w:rPr>
      </w:pPr>
    </w:p>
    <w:p w14:paraId="5014DB5C">
      <w:pPr>
        <w:pStyle w:val="6"/>
        <w:numPr>
          <w:ilvl w:val="0"/>
          <w:numId w:val="0"/>
        </w:numPr>
        <w:ind w:firstLine="3534" w:firstLineChars="1100"/>
        <w:jc w:val="both"/>
        <w:rPr>
          <w:rStyle w:val="40"/>
          <w:b/>
        </w:rPr>
      </w:pPr>
    </w:p>
    <w:p w14:paraId="64E90E23">
      <w:pPr>
        <w:pStyle w:val="6"/>
        <w:numPr>
          <w:ilvl w:val="0"/>
          <w:numId w:val="0"/>
        </w:numPr>
        <w:ind w:firstLine="3534" w:firstLineChars="1100"/>
        <w:jc w:val="both"/>
        <w:rPr>
          <w:rStyle w:val="40"/>
          <w:b/>
        </w:rPr>
      </w:pPr>
    </w:p>
    <w:p w14:paraId="1F217B45">
      <w:pPr>
        <w:pStyle w:val="6"/>
        <w:numPr>
          <w:ilvl w:val="0"/>
          <w:numId w:val="0"/>
        </w:numPr>
        <w:ind w:firstLine="3534" w:firstLineChars="1100"/>
        <w:jc w:val="both"/>
        <w:rPr>
          <w:rStyle w:val="40"/>
          <w:b/>
        </w:rPr>
      </w:pPr>
    </w:p>
    <w:p w14:paraId="356321DF">
      <w:pPr>
        <w:pStyle w:val="6"/>
        <w:numPr>
          <w:ilvl w:val="0"/>
          <w:numId w:val="0"/>
        </w:numPr>
        <w:ind w:firstLine="3534" w:firstLineChars="1100"/>
        <w:jc w:val="both"/>
        <w:rPr>
          <w:rStyle w:val="40"/>
          <w:b/>
        </w:rPr>
      </w:pPr>
    </w:p>
    <w:p w14:paraId="2331287A">
      <w:pPr>
        <w:pStyle w:val="6"/>
        <w:numPr>
          <w:ilvl w:val="0"/>
          <w:numId w:val="0"/>
        </w:numPr>
        <w:ind w:firstLine="3534" w:firstLineChars="1100"/>
        <w:jc w:val="both"/>
        <w:rPr>
          <w:rStyle w:val="40"/>
          <w:b/>
        </w:rPr>
      </w:pPr>
    </w:p>
    <w:p w14:paraId="0FBF74A4">
      <w:pPr>
        <w:pStyle w:val="6"/>
        <w:numPr>
          <w:ilvl w:val="0"/>
          <w:numId w:val="0"/>
        </w:numPr>
        <w:ind w:firstLine="3534" w:firstLineChars="1100"/>
        <w:jc w:val="both"/>
        <w:rPr>
          <w:rStyle w:val="40"/>
          <w:b/>
        </w:rPr>
      </w:pPr>
    </w:p>
    <w:p w14:paraId="209FEA47">
      <w:pPr>
        <w:pStyle w:val="6"/>
        <w:numPr>
          <w:ilvl w:val="0"/>
          <w:numId w:val="0"/>
        </w:numPr>
        <w:ind w:firstLine="3534" w:firstLineChars="1100"/>
        <w:jc w:val="both"/>
        <w:rPr>
          <w:rFonts w:ascii="仿宋" w:hAnsi="仿宋" w:cs="仿宋"/>
          <w:szCs w:val="32"/>
        </w:rPr>
      </w:pPr>
      <w:r>
        <w:rPr>
          <w:rStyle w:val="40"/>
          <w:rFonts w:hint="eastAsia"/>
          <w:b/>
        </w:rPr>
        <w:t>2、商务要求偏离表</w:t>
      </w:r>
    </w:p>
    <w:p w14:paraId="590C3395">
      <w:pPr>
        <w:pStyle w:val="10"/>
        <w:spacing w:line="300" w:lineRule="atLeast"/>
        <w:rPr>
          <w:rFonts w:ascii="仿宋" w:hAnsi="仿宋" w:eastAsia="仿宋" w:cs="仿宋"/>
          <w:kern w:val="0"/>
          <w:sz w:val="24"/>
          <w:lang w:val="zh-TW" w:eastAsia="zh-TW"/>
        </w:rPr>
      </w:pPr>
    </w:p>
    <w:tbl>
      <w:tblPr>
        <w:tblStyle w:val="19"/>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1F38BDD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83FACA">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CA4C403">
            <w:pPr>
              <w:widowControl/>
              <w:jc w:val="center"/>
              <w:rPr>
                <w:rFonts w:ascii="仿宋" w:hAnsi="仿宋" w:eastAsia="仿宋" w:cs="仿宋"/>
                <w:b/>
                <w:sz w:val="24"/>
              </w:rPr>
            </w:pPr>
            <w:r>
              <w:rPr>
                <w:rFonts w:hint="eastAsia" w:ascii="仿宋" w:hAnsi="仿宋" w:eastAsia="仿宋" w:cs="仿宋"/>
                <w:b/>
                <w:kern w:val="0"/>
                <w:sz w:val="24"/>
                <w:lang w:val="zh-TW"/>
              </w:rPr>
              <w:t>谈判文件商务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19A59A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AAAC7D5">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28827BD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52CB33B">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7EE0FCA">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51525F1">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BA4D92A">
            <w:pPr>
              <w:jc w:val="center"/>
              <w:rPr>
                <w:rFonts w:ascii="仿宋" w:hAnsi="仿宋" w:eastAsia="仿宋" w:cs="仿宋"/>
                <w:sz w:val="24"/>
              </w:rPr>
            </w:pPr>
          </w:p>
        </w:tc>
      </w:tr>
      <w:tr w14:paraId="7E6B4A9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FEF183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7BABA34">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E4D94A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4AA514B">
            <w:pPr>
              <w:jc w:val="center"/>
              <w:rPr>
                <w:rFonts w:ascii="仿宋" w:hAnsi="仿宋" w:eastAsia="仿宋" w:cs="仿宋"/>
                <w:sz w:val="24"/>
              </w:rPr>
            </w:pPr>
          </w:p>
        </w:tc>
      </w:tr>
      <w:tr w14:paraId="779C0CF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FB99F10">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7B76DB3">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AE99333">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469DDBF">
            <w:pPr>
              <w:jc w:val="center"/>
              <w:rPr>
                <w:rFonts w:ascii="仿宋" w:hAnsi="仿宋" w:eastAsia="仿宋" w:cs="仿宋"/>
                <w:sz w:val="24"/>
              </w:rPr>
            </w:pPr>
          </w:p>
        </w:tc>
      </w:tr>
    </w:tbl>
    <w:p w14:paraId="33A2A95E">
      <w:pPr>
        <w:spacing w:line="360" w:lineRule="auto"/>
        <w:jc w:val="left"/>
        <w:rPr>
          <w:rFonts w:ascii="仿宋" w:hAnsi="仿宋" w:eastAsia="仿宋" w:cs="仿宋"/>
          <w:bCs/>
          <w:sz w:val="24"/>
        </w:rPr>
      </w:pPr>
    </w:p>
    <w:p w14:paraId="216E34B5">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1.供应商必须按商务要求的内容据实填写，不得虚假响应，否则将取消其谈判或成交资格并按规定追究其相关责任。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14F45F99">
      <w:pPr>
        <w:pStyle w:val="18"/>
        <w:ind w:firstLine="0"/>
        <w:rPr>
          <w:rFonts w:ascii="仿宋" w:hAnsi="仿宋" w:eastAsia="仿宋" w:cs="仿宋"/>
          <w:lang w:val="zh-TW" w:eastAsia="zh-TW"/>
        </w:rPr>
      </w:pPr>
    </w:p>
    <w:p w14:paraId="5902CCA4">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6DE42A16">
      <w:pPr>
        <w:snapToGrid w:val="0"/>
        <w:spacing w:line="560" w:lineRule="exact"/>
        <w:rPr>
          <w:rFonts w:ascii="仿宋" w:hAnsi="仿宋" w:eastAsia="仿宋" w:cs="仿宋"/>
          <w:sz w:val="24"/>
        </w:rPr>
      </w:pPr>
      <w:r>
        <w:rPr>
          <w:rFonts w:hint="eastAsia" w:ascii="仿宋" w:hAnsi="仿宋" w:eastAsia="仿宋" w:cs="仿宋"/>
          <w:sz w:val="24"/>
        </w:rPr>
        <w:t>时间：</w:t>
      </w:r>
    </w:p>
    <w:p w14:paraId="2F9897ED">
      <w:pPr>
        <w:pStyle w:val="31"/>
        <w:jc w:val="center"/>
        <w:rPr>
          <w:rFonts w:ascii="仿宋" w:hAnsi="仿宋" w:eastAsia="仿宋" w:cs="仿宋"/>
          <w:color w:val="auto"/>
          <w:sz w:val="32"/>
          <w:szCs w:val="32"/>
        </w:rPr>
      </w:pPr>
    </w:p>
    <w:p w14:paraId="15E7C3AD">
      <w:pPr>
        <w:pStyle w:val="31"/>
        <w:jc w:val="center"/>
        <w:rPr>
          <w:rFonts w:ascii="仿宋" w:hAnsi="仿宋" w:eastAsia="仿宋" w:cs="仿宋"/>
          <w:color w:val="auto"/>
          <w:sz w:val="32"/>
          <w:szCs w:val="32"/>
        </w:rPr>
      </w:pPr>
      <w:r>
        <w:rPr>
          <w:rFonts w:hint="eastAsia" w:ascii="仿宋" w:hAnsi="仿宋" w:cs="仿宋"/>
          <w:szCs w:val="32"/>
        </w:rPr>
        <w:br w:type="page"/>
      </w:r>
    </w:p>
    <w:p w14:paraId="7AA836BC">
      <w:pPr>
        <w:pStyle w:val="6"/>
        <w:numPr>
          <w:ilvl w:val="0"/>
          <w:numId w:val="0"/>
        </w:numPr>
        <w:jc w:val="both"/>
        <w:rPr>
          <w:rFonts w:ascii="仿宋" w:hAnsi="仿宋" w:cs="仿宋"/>
          <w:bCs/>
          <w:szCs w:val="32"/>
        </w:rPr>
      </w:pPr>
      <w:bookmarkStart w:id="71" w:name="_Toc26839"/>
      <w:bookmarkStart w:id="72" w:name="_Toc1369"/>
      <w:bookmarkStart w:id="73" w:name="_Toc31686"/>
      <w:bookmarkStart w:id="74" w:name="_Toc24806"/>
      <w:bookmarkStart w:id="75" w:name="_Toc21082"/>
      <w:bookmarkStart w:id="76" w:name="_Toc28634"/>
      <w:r>
        <w:rPr>
          <w:rFonts w:hint="eastAsia" w:ascii="仿宋" w:hAnsi="仿宋" w:cs="仿宋"/>
          <w:szCs w:val="32"/>
        </w:rPr>
        <w:t>七、</w:t>
      </w:r>
      <w:r>
        <w:rPr>
          <w:rStyle w:val="40"/>
          <w:rFonts w:hint="eastAsia"/>
          <w:b/>
        </w:rPr>
        <w:t>评分需要提供的证明材料</w:t>
      </w:r>
      <w:bookmarkEnd w:id="71"/>
      <w:bookmarkEnd w:id="72"/>
      <w:bookmarkEnd w:id="73"/>
      <w:bookmarkEnd w:id="74"/>
      <w:bookmarkEnd w:id="75"/>
      <w:bookmarkEnd w:id="76"/>
    </w:p>
    <w:p w14:paraId="173FE2A4">
      <w:pPr>
        <w:pStyle w:val="31"/>
        <w:ind w:firstLine="480" w:firstLineChars="200"/>
        <w:jc w:val="both"/>
        <w:rPr>
          <w:rFonts w:ascii="仿宋" w:hAnsi="仿宋" w:eastAsia="仿宋" w:cs="仿宋"/>
          <w:color w:val="auto"/>
        </w:rPr>
      </w:pPr>
      <w:r>
        <w:rPr>
          <w:rFonts w:hint="eastAsia" w:ascii="仿宋" w:hAnsi="仿宋" w:eastAsia="仿宋" w:cs="仿宋"/>
          <w:color w:val="auto"/>
        </w:rPr>
        <w:t>供应商应根据评分标准中评审因素的顺序依次提供证明材料，内容和格式自拟。</w:t>
      </w:r>
    </w:p>
    <w:p w14:paraId="1FC2F19E">
      <w:pPr>
        <w:pStyle w:val="31"/>
        <w:jc w:val="center"/>
        <w:rPr>
          <w:rFonts w:ascii="仿宋" w:hAnsi="仿宋" w:eastAsia="仿宋" w:cs="仿宋"/>
          <w:b/>
          <w:bCs/>
          <w:color w:val="auto"/>
        </w:rPr>
      </w:pPr>
    </w:p>
    <w:p w14:paraId="331691D2">
      <w:pPr>
        <w:rPr>
          <w:rFonts w:ascii="仿宋" w:hAnsi="仿宋" w:eastAsia="仿宋" w:cs="仿宋"/>
          <w:sz w:val="24"/>
          <w:szCs w:val="24"/>
        </w:rPr>
      </w:pPr>
      <w:r>
        <w:rPr>
          <w:rFonts w:hint="eastAsia" w:ascii="仿宋" w:hAnsi="仿宋" w:eastAsia="仿宋" w:cs="仿宋"/>
          <w:sz w:val="24"/>
          <w:szCs w:val="24"/>
        </w:rPr>
        <w:t>（一）暂用评审因素一代替：</w:t>
      </w:r>
    </w:p>
    <w:p w14:paraId="6AF420A9">
      <w:pPr>
        <w:rPr>
          <w:rFonts w:ascii="仿宋" w:hAnsi="仿宋" w:eastAsia="仿宋" w:cs="仿宋"/>
          <w:sz w:val="24"/>
          <w:szCs w:val="24"/>
        </w:rPr>
      </w:pPr>
      <w:r>
        <w:rPr>
          <w:rFonts w:hint="eastAsia" w:ascii="仿宋" w:hAnsi="仿宋" w:eastAsia="仿宋" w:cs="仿宋"/>
          <w:sz w:val="24"/>
          <w:szCs w:val="24"/>
        </w:rPr>
        <w:t>(......)</w:t>
      </w:r>
    </w:p>
    <w:p w14:paraId="167BACB8">
      <w:pPr>
        <w:rPr>
          <w:rFonts w:ascii="仿宋" w:hAnsi="仿宋" w:eastAsia="仿宋" w:cs="仿宋"/>
          <w:sz w:val="24"/>
          <w:szCs w:val="24"/>
        </w:rPr>
      </w:pPr>
    </w:p>
    <w:p w14:paraId="025F1A65">
      <w:pPr>
        <w:rPr>
          <w:rFonts w:ascii="仿宋" w:hAnsi="仿宋" w:eastAsia="仿宋" w:cs="仿宋"/>
          <w:sz w:val="24"/>
          <w:szCs w:val="24"/>
        </w:rPr>
      </w:pPr>
      <w:r>
        <w:rPr>
          <w:rFonts w:hint="eastAsia" w:ascii="仿宋" w:hAnsi="仿宋" w:eastAsia="仿宋" w:cs="仿宋"/>
          <w:sz w:val="24"/>
          <w:szCs w:val="24"/>
        </w:rPr>
        <w:t>（二）暂用评审因素二代替：</w:t>
      </w:r>
    </w:p>
    <w:p w14:paraId="42BE5735">
      <w:pPr>
        <w:rPr>
          <w:rFonts w:ascii="仿宋" w:hAnsi="仿宋" w:eastAsia="仿宋" w:cs="仿宋"/>
          <w:sz w:val="24"/>
          <w:szCs w:val="24"/>
        </w:rPr>
      </w:pPr>
      <w:r>
        <w:rPr>
          <w:rFonts w:hint="eastAsia" w:ascii="仿宋" w:hAnsi="仿宋" w:eastAsia="仿宋" w:cs="仿宋"/>
          <w:sz w:val="24"/>
          <w:szCs w:val="24"/>
        </w:rPr>
        <w:t>(......)</w:t>
      </w:r>
    </w:p>
    <w:p w14:paraId="14870FB3">
      <w:pPr>
        <w:rPr>
          <w:rFonts w:ascii="仿宋" w:hAnsi="仿宋" w:eastAsia="仿宋" w:cs="仿宋"/>
          <w:sz w:val="24"/>
          <w:szCs w:val="24"/>
        </w:rPr>
      </w:pPr>
    </w:p>
    <w:p w14:paraId="6F8F2C2B">
      <w:pPr>
        <w:rPr>
          <w:rFonts w:ascii="仿宋" w:hAnsi="仿宋" w:eastAsia="仿宋" w:cs="仿宋"/>
          <w:sz w:val="24"/>
          <w:szCs w:val="24"/>
        </w:rPr>
      </w:pPr>
      <w:r>
        <w:rPr>
          <w:rFonts w:hint="eastAsia" w:ascii="仿宋" w:hAnsi="仿宋" w:eastAsia="仿宋" w:cs="仿宋"/>
          <w:sz w:val="24"/>
          <w:szCs w:val="24"/>
        </w:rPr>
        <w:t>（三）暂用评审因素三代替：</w:t>
      </w:r>
    </w:p>
    <w:p w14:paraId="38C1C7B9">
      <w:pPr>
        <w:rPr>
          <w:rFonts w:ascii="仿宋" w:hAnsi="仿宋" w:eastAsia="仿宋" w:cs="仿宋"/>
          <w:sz w:val="24"/>
          <w:szCs w:val="24"/>
        </w:rPr>
      </w:pPr>
      <w:r>
        <w:rPr>
          <w:rFonts w:hint="eastAsia" w:ascii="仿宋" w:hAnsi="仿宋" w:eastAsia="仿宋" w:cs="仿宋"/>
          <w:sz w:val="24"/>
          <w:szCs w:val="24"/>
        </w:rPr>
        <w:t>(......)</w:t>
      </w:r>
    </w:p>
    <w:p w14:paraId="6123EDDE">
      <w:pPr>
        <w:spacing w:line="700" w:lineRule="exact"/>
        <w:jc w:val="center"/>
        <w:rPr>
          <w:rStyle w:val="32"/>
          <w:rFonts w:ascii="仿宋" w:hAnsi="仿宋" w:eastAsia="仿宋" w:cs="仿宋"/>
          <w:sz w:val="32"/>
          <w:szCs w:val="28"/>
        </w:rPr>
      </w:pPr>
      <w:r>
        <w:rPr>
          <w:rFonts w:hint="eastAsia" w:ascii="仿宋" w:hAnsi="仿宋" w:eastAsia="仿宋" w:cs="仿宋"/>
          <w:b/>
          <w:bCs/>
          <w:sz w:val="32"/>
          <w:szCs w:val="32"/>
        </w:rPr>
        <w:br w:type="page"/>
      </w:r>
      <w:bookmarkStart w:id="77" w:name="_Toc24494"/>
      <w:bookmarkStart w:id="78" w:name="_Toc3871"/>
      <w:bookmarkStart w:id="79" w:name="_Toc32605"/>
    </w:p>
    <w:p w14:paraId="3299DA49">
      <w:pPr>
        <w:pStyle w:val="6"/>
        <w:ind w:firstLine="0"/>
      </w:pPr>
      <w:bookmarkStart w:id="80" w:name="_Toc15065"/>
      <w:r>
        <w:rPr>
          <w:rFonts w:hint="eastAsia"/>
        </w:rPr>
        <w:t>报价单</w:t>
      </w:r>
      <w:bookmarkEnd w:id="80"/>
    </w:p>
    <w:p w14:paraId="28FE1156">
      <w:pPr>
        <w:ind w:firstLine="660"/>
        <w:rPr>
          <w:rFonts w:ascii="仿宋" w:hAnsi="仿宋" w:eastAsia="仿宋" w:cs="仿宋"/>
          <w:sz w:val="24"/>
          <w:szCs w:val="24"/>
          <w:lang w:val="zh-TW" w:eastAsia="zh-TW"/>
        </w:rPr>
      </w:pPr>
      <w:bookmarkStart w:id="81" w:name="_Toc14685"/>
      <w:bookmarkStart w:id="82" w:name="_Toc29032"/>
      <w:bookmarkStart w:id="83" w:name="_Toc3000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0C6ED2CB">
      <w:pPr>
        <w:pStyle w:val="10"/>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21417293">
      <w:pPr>
        <w:pStyle w:val="10"/>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FC94FB5">
      <w:pPr>
        <w:pStyle w:val="10"/>
        <w:rPr>
          <w:rFonts w:ascii="仿宋" w:hAnsi="仿宋" w:eastAsia="仿宋" w:cs="仿宋"/>
          <w:b/>
          <w:bCs/>
        </w:rPr>
      </w:pPr>
      <w:r>
        <w:rPr>
          <w:rFonts w:hint="eastAsia" w:ascii="仿宋" w:hAnsi="仿宋" w:eastAsia="仿宋" w:cs="仿宋"/>
          <w:b/>
          <w:bCs/>
        </w:rPr>
        <w:t>2.报价一览表</w:t>
      </w:r>
    </w:p>
    <w:tbl>
      <w:tblPr>
        <w:tblStyle w:val="20"/>
        <w:tblW w:w="0" w:type="auto"/>
        <w:tblInd w:w="-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4"/>
        <w:gridCol w:w="3747"/>
        <w:gridCol w:w="3817"/>
      </w:tblGrid>
      <w:tr w14:paraId="51C36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1744" w:type="dxa"/>
            <w:vAlign w:val="center"/>
          </w:tcPr>
          <w:p w14:paraId="09BEDC02">
            <w:pPr>
              <w:pStyle w:val="10"/>
              <w:jc w:val="center"/>
              <w:rPr>
                <w:rFonts w:ascii="仿宋" w:hAnsi="仿宋" w:eastAsia="仿宋" w:cs="仿宋"/>
                <w:sz w:val="24"/>
                <w:szCs w:val="24"/>
              </w:rPr>
            </w:pPr>
            <w:r>
              <w:rPr>
                <w:rFonts w:hint="eastAsia" w:ascii="仿宋" w:hAnsi="仿宋" w:eastAsia="仿宋" w:cs="仿宋"/>
                <w:kern w:val="0"/>
                <w:sz w:val="24"/>
                <w:szCs w:val="24"/>
                <w:lang w:val="zh-TW" w:eastAsia="zh-TW"/>
              </w:rPr>
              <w:t>序号</w:t>
            </w:r>
          </w:p>
        </w:tc>
        <w:tc>
          <w:tcPr>
            <w:tcW w:w="3747" w:type="dxa"/>
            <w:vAlign w:val="center"/>
          </w:tcPr>
          <w:p w14:paraId="3D101700">
            <w:pPr>
              <w:pStyle w:val="10"/>
              <w:jc w:val="center"/>
              <w:rPr>
                <w:rFonts w:ascii="仿宋" w:hAnsi="仿宋" w:eastAsia="仿宋" w:cs="仿宋"/>
                <w:sz w:val="24"/>
                <w:szCs w:val="24"/>
              </w:rPr>
            </w:pPr>
            <w:r>
              <w:rPr>
                <w:rFonts w:hint="eastAsia" w:ascii="仿宋" w:hAnsi="仿宋" w:eastAsia="仿宋" w:cs="仿宋"/>
                <w:kern w:val="0"/>
                <w:sz w:val="24"/>
                <w:szCs w:val="24"/>
              </w:rPr>
              <w:t>报价项目</w:t>
            </w:r>
          </w:p>
        </w:tc>
        <w:tc>
          <w:tcPr>
            <w:tcW w:w="3817" w:type="dxa"/>
            <w:vAlign w:val="center"/>
          </w:tcPr>
          <w:p w14:paraId="4F75B2F0">
            <w:pPr>
              <w:pStyle w:val="10"/>
              <w:jc w:val="center"/>
              <w:rPr>
                <w:rFonts w:hint="eastAsia" w:ascii="仿宋" w:hAnsi="仿宋" w:eastAsia="仿宋" w:cs="仿宋"/>
                <w:sz w:val="24"/>
                <w:szCs w:val="24"/>
                <w:lang w:val="en-US" w:eastAsia="zh-CN"/>
              </w:rPr>
            </w:pPr>
            <w:r>
              <w:rPr>
                <w:rFonts w:hint="eastAsia" w:ascii="仿宋" w:hAnsi="仿宋" w:eastAsia="仿宋" w:cs="仿宋"/>
                <w:sz w:val="24"/>
                <w:szCs w:val="24"/>
              </w:rPr>
              <w:t>报价</w:t>
            </w:r>
            <w:r>
              <w:rPr>
                <w:rFonts w:hint="eastAsia" w:ascii="仿宋" w:hAnsi="仿宋" w:eastAsia="仿宋" w:cs="仿宋"/>
                <w:sz w:val="24"/>
                <w:szCs w:val="24"/>
                <w:lang w:val="en-US" w:eastAsia="zh-CN"/>
              </w:rPr>
              <w:t>单价</w:t>
            </w:r>
          </w:p>
        </w:tc>
      </w:tr>
      <w:tr w14:paraId="090C8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744" w:type="dxa"/>
            <w:vAlign w:val="center"/>
          </w:tcPr>
          <w:p w14:paraId="35F18D19">
            <w:pPr>
              <w:pStyle w:val="10"/>
              <w:jc w:val="center"/>
              <w:rPr>
                <w:rFonts w:ascii="仿宋" w:hAnsi="仿宋" w:eastAsia="仿宋" w:cs="仿宋"/>
                <w:sz w:val="24"/>
                <w:szCs w:val="24"/>
              </w:rPr>
            </w:pPr>
            <w:r>
              <w:rPr>
                <w:rFonts w:hint="eastAsia" w:ascii="仿宋" w:hAnsi="仿宋" w:eastAsia="仿宋" w:cs="仿宋"/>
                <w:sz w:val="24"/>
                <w:szCs w:val="24"/>
              </w:rPr>
              <w:t>1</w:t>
            </w:r>
          </w:p>
        </w:tc>
        <w:tc>
          <w:tcPr>
            <w:tcW w:w="3747" w:type="dxa"/>
            <w:vAlign w:val="center"/>
          </w:tcPr>
          <w:p w14:paraId="0142CEE6">
            <w:pPr>
              <w:pStyle w:val="10"/>
              <w:jc w:val="center"/>
              <w:rPr>
                <w:rFonts w:ascii="仿宋" w:hAnsi="仿宋" w:eastAsia="仿宋" w:cs="仿宋"/>
                <w:sz w:val="24"/>
                <w:szCs w:val="24"/>
              </w:rPr>
            </w:pPr>
          </w:p>
        </w:tc>
        <w:tc>
          <w:tcPr>
            <w:tcW w:w="3817" w:type="dxa"/>
            <w:vAlign w:val="center"/>
          </w:tcPr>
          <w:p w14:paraId="336E157E">
            <w:pPr>
              <w:pStyle w:val="10"/>
              <w:jc w:val="center"/>
              <w:rPr>
                <w:rFonts w:ascii="仿宋" w:hAnsi="仿宋" w:eastAsia="仿宋" w:cs="仿宋"/>
                <w:sz w:val="24"/>
                <w:szCs w:val="24"/>
              </w:rPr>
            </w:pPr>
          </w:p>
        </w:tc>
      </w:tr>
      <w:tr w14:paraId="03902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1744" w:type="dxa"/>
            <w:vAlign w:val="center"/>
          </w:tcPr>
          <w:p w14:paraId="3DBE90BC">
            <w:pPr>
              <w:pStyle w:val="10"/>
              <w:jc w:val="center"/>
              <w:rPr>
                <w:rFonts w:ascii="仿宋" w:hAnsi="仿宋" w:eastAsia="仿宋" w:cs="仿宋"/>
                <w:sz w:val="24"/>
                <w:szCs w:val="24"/>
              </w:rPr>
            </w:pPr>
            <w:r>
              <w:rPr>
                <w:rFonts w:hint="eastAsia" w:ascii="仿宋" w:hAnsi="仿宋" w:eastAsia="仿宋" w:cs="仿宋"/>
                <w:sz w:val="24"/>
                <w:szCs w:val="24"/>
              </w:rPr>
              <w:t>报价合计</w:t>
            </w:r>
          </w:p>
        </w:tc>
        <w:tc>
          <w:tcPr>
            <w:tcW w:w="7564" w:type="dxa"/>
            <w:gridSpan w:val="2"/>
            <w:vAlign w:val="center"/>
          </w:tcPr>
          <w:p w14:paraId="4264496A">
            <w:pPr>
              <w:pStyle w:val="10"/>
              <w:jc w:val="left"/>
              <w:rPr>
                <w:sz w:val="24"/>
                <w:szCs w:val="24"/>
              </w:rPr>
            </w:pPr>
            <w:r>
              <w:rPr>
                <w:rFonts w:hint="eastAsia" w:ascii="仿宋" w:hAnsi="仿宋" w:eastAsia="仿宋" w:cs="仿宋"/>
                <w:sz w:val="24"/>
                <w:szCs w:val="24"/>
              </w:rPr>
              <w:t xml:space="preserve">大写：  </w:t>
            </w:r>
            <w:r>
              <w:rPr>
                <w:rFonts w:hint="eastAsia" w:ascii="仿宋" w:hAnsi="仿宋" w:eastAsia="仿宋"/>
                <w:sz w:val="24"/>
                <w:szCs w:val="24"/>
              </w:rPr>
              <w:t>小写：</w:t>
            </w:r>
          </w:p>
        </w:tc>
      </w:tr>
    </w:tbl>
    <w:p w14:paraId="16781C29">
      <w:pPr>
        <w:widowControl/>
        <w:jc w:val="left"/>
        <w:rPr>
          <w:rFonts w:ascii="仿宋" w:hAnsi="仿宋" w:eastAsia="仿宋" w:cs="仿宋"/>
          <w:sz w:val="24"/>
          <w:szCs w:val="24"/>
          <w:lang w:val="zh-TW"/>
        </w:rPr>
      </w:pPr>
    </w:p>
    <w:p w14:paraId="44AB4BC9">
      <w:pPr>
        <w:widowControl/>
        <w:jc w:val="left"/>
        <w:rPr>
          <w:rFonts w:ascii="仿宋" w:hAnsi="仿宋" w:eastAsia="仿宋" w:cs="仿宋"/>
          <w:sz w:val="24"/>
          <w:szCs w:val="24"/>
          <w:lang w:val="zh-TW"/>
        </w:rPr>
      </w:pPr>
    </w:p>
    <w:p w14:paraId="53978A6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7280B53E">
      <w:pPr>
        <w:pStyle w:val="10"/>
        <w:rPr>
          <w:rFonts w:ascii="仿宋" w:hAnsi="仿宋" w:eastAsia="仿宋" w:cs="仿宋"/>
          <w:lang w:val="zh-TW" w:eastAsia="zh-TW"/>
        </w:rPr>
      </w:pPr>
    </w:p>
    <w:p w14:paraId="4C1E5EF3">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54C6C6F7">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36B2D43F">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8CC3219">
      <w:pPr>
        <w:rPr>
          <w:rFonts w:ascii="仿宋" w:hAnsi="仿宋" w:eastAsia="仿宋" w:cs="仿宋"/>
          <w:sz w:val="24"/>
          <w:szCs w:val="24"/>
          <w:u w:val="single"/>
        </w:rPr>
      </w:pPr>
      <w:r>
        <w:rPr>
          <w:rFonts w:hint="eastAsia" w:ascii="仿宋" w:hAnsi="仿宋" w:eastAsia="仿宋" w:cs="仿宋"/>
          <w:sz w:val="24"/>
          <w:szCs w:val="24"/>
          <w:u w:val="single"/>
        </w:rPr>
        <w:br w:type="page"/>
      </w:r>
    </w:p>
    <w:p w14:paraId="11C25BFF">
      <w:pPr>
        <w:pStyle w:val="6"/>
        <w:ind w:firstLine="0"/>
      </w:pPr>
      <w:r>
        <w:rPr>
          <w:rFonts w:hint="eastAsia"/>
        </w:rPr>
        <w:t>供应商认为需要提供的其他材料</w:t>
      </w:r>
      <w:bookmarkEnd w:id="77"/>
      <w:bookmarkEnd w:id="78"/>
      <w:bookmarkEnd w:id="79"/>
      <w:bookmarkEnd w:id="81"/>
      <w:bookmarkEnd w:id="82"/>
      <w:bookmarkEnd w:id="83"/>
    </w:p>
    <w:p w14:paraId="75706F50">
      <w:pPr>
        <w:pStyle w:val="10"/>
        <w:jc w:val="center"/>
        <w:rPr>
          <w:rFonts w:ascii="仿宋" w:hAnsi="仿宋" w:eastAsia="仿宋" w:cs="仿宋"/>
        </w:rPr>
      </w:pPr>
    </w:p>
    <w:p w14:paraId="3BDE8109">
      <w:pPr>
        <w:pStyle w:val="10"/>
        <w:jc w:val="center"/>
        <w:rPr>
          <w:rFonts w:ascii="仿宋" w:hAnsi="仿宋" w:eastAsia="仿宋" w:cs="仿宋"/>
        </w:rPr>
      </w:pPr>
    </w:p>
    <w:p w14:paraId="63FFE08D">
      <w:pPr>
        <w:pStyle w:val="10"/>
        <w:jc w:val="center"/>
        <w:rPr>
          <w:rFonts w:ascii="仿宋" w:hAnsi="仿宋" w:eastAsia="仿宋" w:cs="仿宋"/>
        </w:rPr>
      </w:pPr>
    </w:p>
    <w:p w14:paraId="45648C50">
      <w:pPr>
        <w:pStyle w:val="10"/>
        <w:jc w:val="center"/>
        <w:rPr>
          <w:rFonts w:ascii="仿宋" w:hAnsi="仿宋" w:eastAsia="仿宋" w:cs="仿宋"/>
          <w:b/>
          <w:bCs/>
          <w:sz w:val="32"/>
          <w:szCs w:val="36"/>
        </w:rPr>
      </w:pPr>
      <w:r>
        <w:rPr>
          <w:rFonts w:hint="eastAsia" w:ascii="仿宋" w:hAnsi="仿宋" w:eastAsia="仿宋" w:cs="仿宋"/>
          <w:b/>
          <w:bCs/>
          <w:sz w:val="32"/>
          <w:szCs w:val="36"/>
        </w:rPr>
        <w:t>格式自拟</w:t>
      </w:r>
    </w:p>
    <w:p w14:paraId="184EDEF1">
      <w:pPr>
        <w:rPr>
          <w:b/>
          <w:bCs/>
          <w:sz w:val="44"/>
          <w:szCs w:val="52"/>
        </w:rPr>
      </w:pPr>
      <w:bookmarkStart w:id="84" w:name="_Toc20691"/>
      <w:bookmarkStart w:id="85" w:name="_Toc5447"/>
      <w:r>
        <w:rPr>
          <w:rFonts w:hint="eastAsia" w:ascii="黑体" w:hAnsi="黑体" w:eastAsia="黑体" w:cs="黑体"/>
          <w:b/>
          <w:sz w:val="36"/>
          <w:szCs w:val="32"/>
        </w:rPr>
        <w:br w:type="page"/>
      </w:r>
      <w:bookmarkEnd w:id="84"/>
      <w:bookmarkEnd w:id="85"/>
    </w:p>
    <w:sectPr>
      <w:headerReference r:id="rId11" w:type="default"/>
      <w:footerReference r:id="rId12" w:type="default"/>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6C5E8EC8-0122-4511-93B5-38E484D6BBB8}"/>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272C6F60-9D91-4ECD-94B4-82302A3552E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92686DCA-F6D4-48D0-BB64-93FA7E79108E}"/>
  </w:font>
  <w:font w:name="仿宋_GB2312">
    <w:altName w:val="仿宋"/>
    <w:panose1 w:val="02010609030101010101"/>
    <w:charset w:val="86"/>
    <w:family w:val="modern"/>
    <w:pitch w:val="default"/>
    <w:sig w:usb0="00000000" w:usb1="00000000" w:usb2="00000000" w:usb3="00000000" w:csb0="00040000" w:csb1="00000000"/>
  </w:font>
  <w:font w:name="Arial Unicode MS">
    <w:panose1 w:val="020B0604020202020204"/>
    <w:charset w:val="86"/>
    <w:family w:val="swiss"/>
    <w:pitch w:val="default"/>
    <w:sig w:usb0="FFFFFFFF" w:usb1="E9FFFFFF" w:usb2="0000003F" w:usb3="00000000" w:csb0="603F01FF" w:csb1="FFFF0000"/>
    <w:embedRegular r:id="rId4" w:fontKey="{A2E0B35B-3C68-44D6-8BBF-CF902DB66E68}"/>
  </w:font>
  <w:font w:name="Helvetica Neue">
    <w:altName w:val="Times New Roman"/>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5" w:fontKey="{17CF60CA-5C45-4964-9081-78AEE4F89A52}"/>
  </w:font>
  <w:font w:name="Wingdings">
    <w:panose1 w:val="05000000000000000000"/>
    <w:charset w:val="00"/>
    <w:family w:val="auto"/>
    <w:pitch w:val="default"/>
    <w:sig w:usb0="00000000" w:usb1="00000000" w:usb2="00000000" w:usb3="00000000" w:csb0="80000000" w:csb1="00000000"/>
    <w:embedRegular r:id="rId6" w:fontKey="{8F73A4A2-C2EA-435C-A09C-587FB677860E}"/>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7393E9">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11430E">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3A8B01">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4A3BA">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C9740">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67D257">
                          <w:pPr>
                            <w:pStyle w:val="13"/>
                          </w:pPr>
                          <w:r>
                            <w:t xml:space="preserve">第 </w:t>
                          </w:r>
                          <w:r>
                            <w:fldChar w:fldCharType="begin"/>
                          </w:r>
                          <w:r>
                            <w:instrText xml:space="preserve"> PAGE  \* MERGEFORMAT </w:instrText>
                          </w:r>
                          <w:r>
                            <w:fldChar w:fldCharType="separate"/>
                          </w:r>
                          <w:r>
                            <w:t>24</w:t>
                          </w:r>
                          <w:r>
                            <w:fldChar w:fldCharType="end"/>
                          </w:r>
                          <w:r>
                            <w:t xml:space="preserve"> 页 共 </w:t>
                          </w:r>
                          <w:r>
                            <w:rPr>
                              <w:rFonts w:hint="eastAsia"/>
                            </w:rPr>
                            <w:t>24</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C67D257">
                    <w:pPr>
                      <w:pStyle w:val="13"/>
                    </w:pPr>
                    <w:r>
                      <w:t xml:space="preserve">第 </w:t>
                    </w:r>
                    <w:r>
                      <w:fldChar w:fldCharType="begin"/>
                    </w:r>
                    <w:r>
                      <w:instrText xml:space="preserve"> PAGE  \* MERGEFORMAT </w:instrText>
                    </w:r>
                    <w:r>
                      <w:fldChar w:fldCharType="separate"/>
                    </w:r>
                    <w:r>
                      <w:t>24</w:t>
                    </w:r>
                    <w:r>
                      <w:fldChar w:fldCharType="end"/>
                    </w:r>
                    <w:r>
                      <w:t xml:space="preserve"> 页 共 </w:t>
                    </w:r>
                    <w:r>
                      <w:rPr>
                        <w:rFonts w:hint="eastAsia"/>
                      </w:rPr>
                      <w:t>24</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5D8ED">
    <w:pPr>
      <w:pStyle w:val="14"/>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59053">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2C4E07">
    <w:pPr>
      <w:pStyle w:val="1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A60195">
    <w:pPr>
      <w:pStyle w:val="14"/>
      <w:pBdr>
        <w:bottom w:val="none" w:color="auto" w:sz="0" w:space="1"/>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942AA">
    <w:pPr>
      <w:pStyle w:val="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1">
    <w:nsid w:val="A4411B4E"/>
    <w:multiLevelType w:val="singleLevel"/>
    <w:tmpl w:val="A4411B4E"/>
    <w:lvl w:ilvl="0" w:tentative="0">
      <w:start w:val="1"/>
      <w:numFmt w:val="decimal"/>
      <w:suff w:val="nothing"/>
      <w:lvlText w:val="（%1）"/>
      <w:lvlJc w:val="left"/>
    </w:lvl>
  </w:abstractNum>
  <w:abstractNum w:abstractNumId="2">
    <w:nsid w:val="B6D22D8F"/>
    <w:multiLevelType w:val="singleLevel"/>
    <w:tmpl w:val="B6D22D8F"/>
    <w:lvl w:ilvl="0" w:tentative="0">
      <w:start w:val="1"/>
      <w:numFmt w:val="decimal"/>
      <w:suff w:val="nothing"/>
      <w:lvlText w:val="（%1）"/>
      <w:lvlJc w:val="left"/>
    </w:lvl>
  </w:abstractNum>
  <w:abstractNum w:abstractNumId="3">
    <w:nsid w:val="B94D719C"/>
    <w:multiLevelType w:val="singleLevel"/>
    <w:tmpl w:val="B94D719C"/>
    <w:lvl w:ilvl="0" w:tentative="0">
      <w:start w:val="1"/>
      <w:numFmt w:val="decimal"/>
      <w:lvlText w:val="(%1)"/>
      <w:lvlJc w:val="left"/>
      <w:pPr>
        <w:ind w:left="454" w:leftChars="0" w:hanging="171" w:firstLineChars="0"/>
      </w:pPr>
      <w:rPr>
        <w:rFonts w:hint="default"/>
      </w:rPr>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DDB4CC13"/>
    <w:multiLevelType w:val="singleLevel"/>
    <w:tmpl w:val="DDB4CC13"/>
    <w:lvl w:ilvl="0" w:tentative="0">
      <w:start w:val="1"/>
      <w:numFmt w:val="decimal"/>
      <w:lvlText w:val="%1."/>
      <w:lvlJc w:val="left"/>
      <w:pPr>
        <w:ind w:left="425" w:hanging="425"/>
      </w:pPr>
      <w:rPr>
        <w:rFonts w:hint="default"/>
      </w:rPr>
    </w:lvl>
  </w:abstractNum>
  <w:abstractNum w:abstractNumId="6">
    <w:nsid w:val="E0FF838A"/>
    <w:multiLevelType w:val="singleLevel"/>
    <w:tmpl w:val="E0FF838A"/>
    <w:lvl w:ilvl="0" w:tentative="0">
      <w:start w:val="1"/>
      <w:numFmt w:val="decimal"/>
      <w:lvlText w:val="(%1)"/>
      <w:lvlJc w:val="left"/>
      <w:pPr>
        <w:ind w:left="454" w:leftChars="0" w:hanging="171" w:firstLineChars="0"/>
      </w:pPr>
      <w:rPr>
        <w:rFonts w:hint="default"/>
      </w:rPr>
    </w:lvl>
  </w:abstractNum>
  <w:abstractNum w:abstractNumId="7">
    <w:nsid w:val="ED3FB364"/>
    <w:multiLevelType w:val="singleLevel"/>
    <w:tmpl w:val="ED3FB364"/>
    <w:lvl w:ilvl="0" w:tentative="0">
      <w:start w:val="1"/>
      <w:numFmt w:val="decimal"/>
      <w:lvlText w:val="(%1)"/>
      <w:lvlJc w:val="left"/>
      <w:pPr>
        <w:ind w:left="454" w:leftChars="0" w:hanging="171" w:firstLineChars="0"/>
      </w:pPr>
      <w:rPr>
        <w:rFonts w:hint="default"/>
      </w:rPr>
    </w:lvl>
  </w:abstractNum>
  <w:abstractNum w:abstractNumId="8">
    <w:nsid w:val="EDFBBF3F"/>
    <w:multiLevelType w:val="singleLevel"/>
    <w:tmpl w:val="EDFBBF3F"/>
    <w:lvl w:ilvl="0" w:tentative="0">
      <w:start w:val="1"/>
      <w:numFmt w:val="chineseCounting"/>
      <w:suff w:val="nothing"/>
      <w:lvlText w:val="%1、"/>
      <w:lvlJc w:val="left"/>
      <w:rPr>
        <w:rFonts w:hint="eastAsia"/>
      </w:rPr>
    </w:lvl>
  </w:abstractNum>
  <w:abstractNum w:abstractNumId="9">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10">
    <w:nsid w:val="F2F731C3"/>
    <w:multiLevelType w:val="singleLevel"/>
    <w:tmpl w:val="F2F731C3"/>
    <w:lvl w:ilvl="0" w:tentative="0">
      <w:start w:val="1"/>
      <w:numFmt w:val="chineseCounting"/>
      <w:pStyle w:val="6"/>
      <w:suff w:val="nothing"/>
      <w:lvlText w:val="%1、"/>
      <w:lvlJc w:val="left"/>
      <w:pPr>
        <w:ind w:left="0" w:firstLine="420"/>
      </w:pPr>
      <w:rPr>
        <w:rFonts w:hint="eastAsia"/>
      </w:rPr>
    </w:lvl>
  </w:abstractNum>
  <w:abstractNum w:abstractNumId="11">
    <w:nsid w:val="FCA5E3A8"/>
    <w:multiLevelType w:val="singleLevel"/>
    <w:tmpl w:val="FCA5E3A8"/>
    <w:lvl w:ilvl="0" w:tentative="0">
      <w:start w:val="1"/>
      <w:numFmt w:val="decimal"/>
      <w:suff w:val="nothing"/>
      <w:lvlText w:val="（%1）"/>
      <w:lvlJc w:val="left"/>
      <w:pPr>
        <w:ind w:left="-210"/>
      </w:pPr>
    </w:lvl>
  </w:abstractNum>
  <w:abstractNum w:abstractNumId="12">
    <w:nsid w:val="012C4457"/>
    <w:multiLevelType w:val="singleLevel"/>
    <w:tmpl w:val="012C4457"/>
    <w:lvl w:ilvl="0" w:tentative="0">
      <w:start w:val="1"/>
      <w:numFmt w:val="chineseCounting"/>
      <w:suff w:val="nothing"/>
      <w:lvlText w:val="%1、"/>
      <w:lvlJc w:val="left"/>
      <w:rPr>
        <w:rFonts w:hint="eastAsia"/>
      </w:rPr>
    </w:lvl>
  </w:abstractNum>
  <w:abstractNum w:abstractNumId="13">
    <w:nsid w:val="1F712D09"/>
    <w:multiLevelType w:val="singleLevel"/>
    <w:tmpl w:val="1F712D09"/>
    <w:lvl w:ilvl="0" w:tentative="0">
      <w:start w:val="1"/>
      <w:numFmt w:val="decimal"/>
      <w:lvlText w:val="(%1)"/>
      <w:lvlJc w:val="left"/>
      <w:pPr>
        <w:ind w:left="218" w:hanging="425"/>
      </w:pPr>
      <w:rPr>
        <w:rFonts w:hint="default"/>
      </w:rPr>
    </w:lvl>
  </w:abstractNum>
  <w:abstractNum w:abstractNumId="14">
    <w:nsid w:val="2D998365"/>
    <w:multiLevelType w:val="multilevel"/>
    <w:tmpl w:val="2D998365"/>
    <w:lvl w:ilvl="0" w:tentative="0">
      <w:start w:val="1"/>
      <w:numFmt w:val="chineseCounting"/>
      <w:pStyle w:val="5"/>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5">
    <w:nsid w:val="3A69C7D9"/>
    <w:multiLevelType w:val="singleLevel"/>
    <w:tmpl w:val="3A69C7D9"/>
    <w:lvl w:ilvl="0" w:tentative="0">
      <w:start w:val="1"/>
      <w:numFmt w:val="decimal"/>
      <w:lvlText w:val="(%1)"/>
      <w:lvlJc w:val="left"/>
      <w:pPr>
        <w:ind w:left="425" w:hanging="425"/>
      </w:pPr>
      <w:rPr>
        <w:rFonts w:hint="default"/>
      </w:rPr>
    </w:lvl>
  </w:abstractNum>
  <w:abstractNum w:abstractNumId="16">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4"/>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7">
    <w:nsid w:val="3EF985A4"/>
    <w:multiLevelType w:val="singleLevel"/>
    <w:tmpl w:val="3EF985A4"/>
    <w:lvl w:ilvl="0" w:tentative="0">
      <w:start w:val="1"/>
      <w:numFmt w:val="decimal"/>
      <w:lvlText w:val="%1."/>
      <w:lvlJc w:val="left"/>
      <w:pPr>
        <w:ind w:left="425" w:hanging="425"/>
      </w:pPr>
      <w:rPr>
        <w:rFonts w:hint="default" w:ascii="Times New Roman" w:hAnsi="Times New Roman" w:cs="Times New Roman"/>
        <w:sz w:val="21"/>
        <w:szCs w:val="21"/>
      </w:rPr>
    </w:lvl>
  </w:abstractNum>
  <w:abstractNum w:abstractNumId="18">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9">
    <w:nsid w:val="43B3CAA4"/>
    <w:multiLevelType w:val="singleLevel"/>
    <w:tmpl w:val="43B3CAA4"/>
    <w:lvl w:ilvl="0" w:tentative="0">
      <w:start w:val="1"/>
      <w:numFmt w:val="decimal"/>
      <w:lvlText w:val="(%1)"/>
      <w:lvlJc w:val="left"/>
      <w:pPr>
        <w:ind w:left="425" w:hanging="425"/>
      </w:pPr>
      <w:rPr>
        <w:rFonts w:hint="default" w:ascii="Times New Roman" w:hAnsi="Times New Roman" w:cs="Times New Roman"/>
      </w:rPr>
    </w:lvl>
  </w:abstractNum>
  <w:abstractNum w:abstractNumId="20">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21">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4"/>
  </w:num>
  <w:num w:numId="2">
    <w:abstractNumId w:val="10"/>
  </w:num>
  <w:num w:numId="3">
    <w:abstractNumId w:val="16"/>
  </w:num>
  <w:num w:numId="4">
    <w:abstractNumId w:val="21"/>
  </w:num>
  <w:num w:numId="5">
    <w:abstractNumId w:val="13"/>
  </w:num>
  <w:num w:numId="6">
    <w:abstractNumId w:val="20"/>
  </w:num>
  <w:num w:numId="7">
    <w:abstractNumId w:val="15"/>
  </w:num>
  <w:num w:numId="8">
    <w:abstractNumId w:val="9"/>
  </w:num>
  <w:num w:numId="9">
    <w:abstractNumId w:val="18"/>
  </w:num>
  <w:num w:numId="10">
    <w:abstractNumId w:val="1"/>
  </w:num>
  <w:num w:numId="11">
    <w:abstractNumId w:val="4"/>
  </w:num>
  <w:num w:numId="12">
    <w:abstractNumId w:val="0"/>
  </w:num>
  <w:num w:numId="13">
    <w:abstractNumId w:val="2"/>
  </w:num>
  <w:num w:numId="14">
    <w:abstractNumId w:val="7"/>
  </w:num>
  <w:num w:numId="15">
    <w:abstractNumId w:val="3"/>
  </w:num>
  <w:num w:numId="16">
    <w:abstractNumId w:val="6"/>
  </w:num>
  <w:num w:numId="17">
    <w:abstractNumId w:val="11"/>
  </w:num>
  <w:num w:numId="18">
    <w:abstractNumId w:val="12"/>
  </w:num>
  <w:num w:numId="19">
    <w:abstractNumId w:val="8"/>
  </w:num>
  <w:num w:numId="20">
    <w:abstractNumId w:val="17"/>
  </w:num>
  <w:num w:numId="21">
    <w:abstractNumId w:val="19"/>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ODEzODZjZTIxMTJhZGEwZDFkYTUzODM2ODkzZTgifQ=="/>
  </w:docVars>
  <w:rsids>
    <w:rsidRoot w:val="7D040AB6"/>
    <w:rsid w:val="0000488D"/>
    <w:rsid w:val="00007E7B"/>
    <w:rsid w:val="00020C88"/>
    <w:rsid w:val="000278AB"/>
    <w:rsid w:val="00077AA7"/>
    <w:rsid w:val="00081729"/>
    <w:rsid w:val="000B7793"/>
    <w:rsid w:val="000C337E"/>
    <w:rsid w:val="00114C26"/>
    <w:rsid w:val="00163C94"/>
    <w:rsid w:val="001A04E2"/>
    <w:rsid w:val="00207D04"/>
    <w:rsid w:val="00217A0D"/>
    <w:rsid w:val="0022301C"/>
    <w:rsid w:val="002751DD"/>
    <w:rsid w:val="002B5793"/>
    <w:rsid w:val="003F028A"/>
    <w:rsid w:val="004035FE"/>
    <w:rsid w:val="00403654"/>
    <w:rsid w:val="00421AD9"/>
    <w:rsid w:val="00461368"/>
    <w:rsid w:val="00463DD9"/>
    <w:rsid w:val="0046491D"/>
    <w:rsid w:val="00465660"/>
    <w:rsid w:val="00466DA5"/>
    <w:rsid w:val="00474D2A"/>
    <w:rsid w:val="00483AB3"/>
    <w:rsid w:val="004D41D3"/>
    <w:rsid w:val="004F4DC4"/>
    <w:rsid w:val="00526A0D"/>
    <w:rsid w:val="00555827"/>
    <w:rsid w:val="005A33DF"/>
    <w:rsid w:val="005A705A"/>
    <w:rsid w:val="005F56BD"/>
    <w:rsid w:val="006001D5"/>
    <w:rsid w:val="006040D8"/>
    <w:rsid w:val="00640C2B"/>
    <w:rsid w:val="0064444C"/>
    <w:rsid w:val="00673DA4"/>
    <w:rsid w:val="00677BCD"/>
    <w:rsid w:val="006F4109"/>
    <w:rsid w:val="007365C1"/>
    <w:rsid w:val="00746494"/>
    <w:rsid w:val="007650DB"/>
    <w:rsid w:val="007760AF"/>
    <w:rsid w:val="00780419"/>
    <w:rsid w:val="007B3659"/>
    <w:rsid w:val="007C6F18"/>
    <w:rsid w:val="00823167"/>
    <w:rsid w:val="008439DA"/>
    <w:rsid w:val="0087167F"/>
    <w:rsid w:val="008B534E"/>
    <w:rsid w:val="008C1818"/>
    <w:rsid w:val="008F14FA"/>
    <w:rsid w:val="008F26A3"/>
    <w:rsid w:val="009365B8"/>
    <w:rsid w:val="0094161B"/>
    <w:rsid w:val="00A12C4A"/>
    <w:rsid w:val="00A46DD1"/>
    <w:rsid w:val="00A72CD1"/>
    <w:rsid w:val="00A7781A"/>
    <w:rsid w:val="00B039D6"/>
    <w:rsid w:val="00B07570"/>
    <w:rsid w:val="00B16CD7"/>
    <w:rsid w:val="00B2440D"/>
    <w:rsid w:val="00B55385"/>
    <w:rsid w:val="00B63B3D"/>
    <w:rsid w:val="00BC1C51"/>
    <w:rsid w:val="00BE026E"/>
    <w:rsid w:val="00BE12C0"/>
    <w:rsid w:val="00BE5655"/>
    <w:rsid w:val="00BF0CD1"/>
    <w:rsid w:val="00C06635"/>
    <w:rsid w:val="00C16D65"/>
    <w:rsid w:val="00C4482E"/>
    <w:rsid w:val="00C51669"/>
    <w:rsid w:val="00C80DB0"/>
    <w:rsid w:val="00C866E7"/>
    <w:rsid w:val="00CA6EE8"/>
    <w:rsid w:val="00D06B57"/>
    <w:rsid w:val="00D14E92"/>
    <w:rsid w:val="00D34523"/>
    <w:rsid w:val="00D644BF"/>
    <w:rsid w:val="00D7089D"/>
    <w:rsid w:val="00DB3358"/>
    <w:rsid w:val="00DB406D"/>
    <w:rsid w:val="00DB7281"/>
    <w:rsid w:val="00DF3B6A"/>
    <w:rsid w:val="00E30F6B"/>
    <w:rsid w:val="00E66EAD"/>
    <w:rsid w:val="00E6714A"/>
    <w:rsid w:val="00E75424"/>
    <w:rsid w:val="00E81879"/>
    <w:rsid w:val="00F3202A"/>
    <w:rsid w:val="00F523A1"/>
    <w:rsid w:val="00F90C3B"/>
    <w:rsid w:val="00FF60E3"/>
    <w:rsid w:val="015B3238"/>
    <w:rsid w:val="01F057BA"/>
    <w:rsid w:val="01FF1E15"/>
    <w:rsid w:val="02BC7782"/>
    <w:rsid w:val="037B73C5"/>
    <w:rsid w:val="038E0C11"/>
    <w:rsid w:val="041D546A"/>
    <w:rsid w:val="05786D8C"/>
    <w:rsid w:val="058C78B0"/>
    <w:rsid w:val="05E13064"/>
    <w:rsid w:val="06043A48"/>
    <w:rsid w:val="06D857D5"/>
    <w:rsid w:val="07275343"/>
    <w:rsid w:val="078909F5"/>
    <w:rsid w:val="07CA7DEC"/>
    <w:rsid w:val="093A3733"/>
    <w:rsid w:val="0A4B5655"/>
    <w:rsid w:val="0A5B6C7C"/>
    <w:rsid w:val="0B223ED3"/>
    <w:rsid w:val="0B395F4B"/>
    <w:rsid w:val="0B4276FF"/>
    <w:rsid w:val="0B4508AE"/>
    <w:rsid w:val="0BF34D9F"/>
    <w:rsid w:val="0C375F99"/>
    <w:rsid w:val="0C917085"/>
    <w:rsid w:val="0CD33899"/>
    <w:rsid w:val="0D465A55"/>
    <w:rsid w:val="0DF5199B"/>
    <w:rsid w:val="0E0B7FF0"/>
    <w:rsid w:val="0E9953A0"/>
    <w:rsid w:val="0E9A4D55"/>
    <w:rsid w:val="0F23034D"/>
    <w:rsid w:val="0F522C33"/>
    <w:rsid w:val="0FB9627D"/>
    <w:rsid w:val="0FDF3286"/>
    <w:rsid w:val="10453CDC"/>
    <w:rsid w:val="108E5337"/>
    <w:rsid w:val="111E5122"/>
    <w:rsid w:val="117A5014"/>
    <w:rsid w:val="11B31C24"/>
    <w:rsid w:val="11C15BEE"/>
    <w:rsid w:val="127F05A0"/>
    <w:rsid w:val="12E75E98"/>
    <w:rsid w:val="12EA1E51"/>
    <w:rsid w:val="136D78F8"/>
    <w:rsid w:val="143F1847"/>
    <w:rsid w:val="146C3D6E"/>
    <w:rsid w:val="14A910E0"/>
    <w:rsid w:val="14EF122E"/>
    <w:rsid w:val="15C26E1F"/>
    <w:rsid w:val="15DC53AD"/>
    <w:rsid w:val="16082FC8"/>
    <w:rsid w:val="162A4F7D"/>
    <w:rsid w:val="16DF591A"/>
    <w:rsid w:val="17130116"/>
    <w:rsid w:val="172F68A1"/>
    <w:rsid w:val="17887E32"/>
    <w:rsid w:val="17CC7129"/>
    <w:rsid w:val="17F1147E"/>
    <w:rsid w:val="19847FC3"/>
    <w:rsid w:val="1994787E"/>
    <w:rsid w:val="1A586B54"/>
    <w:rsid w:val="1AAE3FD3"/>
    <w:rsid w:val="1AEF347F"/>
    <w:rsid w:val="1B3B2C45"/>
    <w:rsid w:val="1DD000AF"/>
    <w:rsid w:val="1E09745A"/>
    <w:rsid w:val="1E14234D"/>
    <w:rsid w:val="1E8F4CF1"/>
    <w:rsid w:val="1F4F7C3B"/>
    <w:rsid w:val="1F920200"/>
    <w:rsid w:val="20D97009"/>
    <w:rsid w:val="210C2FB0"/>
    <w:rsid w:val="211D2ED8"/>
    <w:rsid w:val="2173335D"/>
    <w:rsid w:val="23791F56"/>
    <w:rsid w:val="24D42836"/>
    <w:rsid w:val="250334A1"/>
    <w:rsid w:val="257858B7"/>
    <w:rsid w:val="25BD312B"/>
    <w:rsid w:val="262C2FF8"/>
    <w:rsid w:val="26614BE2"/>
    <w:rsid w:val="26957D93"/>
    <w:rsid w:val="26A655F4"/>
    <w:rsid w:val="26B009F2"/>
    <w:rsid w:val="28276C03"/>
    <w:rsid w:val="28D821B5"/>
    <w:rsid w:val="29502FD4"/>
    <w:rsid w:val="29A078DB"/>
    <w:rsid w:val="29B965A0"/>
    <w:rsid w:val="29C5318E"/>
    <w:rsid w:val="2A3335F4"/>
    <w:rsid w:val="2AA607D0"/>
    <w:rsid w:val="2AAD33E1"/>
    <w:rsid w:val="2AEF232A"/>
    <w:rsid w:val="2AF54989"/>
    <w:rsid w:val="2C9A0A9E"/>
    <w:rsid w:val="2CC93AF1"/>
    <w:rsid w:val="2CE462F8"/>
    <w:rsid w:val="2D6B5578"/>
    <w:rsid w:val="2DA70D65"/>
    <w:rsid w:val="2E8822E7"/>
    <w:rsid w:val="2F966F61"/>
    <w:rsid w:val="305F1EED"/>
    <w:rsid w:val="31F51A59"/>
    <w:rsid w:val="32724DD0"/>
    <w:rsid w:val="338B5C72"/>
    <w:rsid w:val="33C24ADF"/>
    <w:rsid w:val="33C55DB7"/>
    <w:rsid w:val="343706EB"/>
    <w:rsid w:val="34732DE4"/>
    <w:rsid w:val="34E851C6"/>
    <w:rsid w:val="351A08D0"/>
    <w:rsid w:val="357519FC"/>
    <w:rsid w:val="35A61797"/>
    <w:rsid w:val="35D74205"/>
    <w:rsid w:val="362A0508"/>
    <w:rsid w:val="367D6EF4"/>
    <w:rsid w:val="372F3AE9"/>
    <w:rsid w:val="373D3686"/>
    <w:rsid w:val="37BF3B20"/>
    <w:rsid w:val="37D82A22"/>
    <w:rsid w:val="380B5401"/>
    <w:rsid w:val="38323B02"/>
    <w:rsid w:val="38AE5E8C"/>
    <w:rsid w:val="39643D30"/>
    <w:rsid w:val="3A335BDD"/>
    <w:rsid w:val="3A900FE8"/>
    <w:rsid w:val="3B4E7DFC"/>
    <w:rsid w:val="3D375AA1"/>
    <w:rsid w:val="3D931F15"/>
    <w:rsid w:val="3EA40469"/>
    <w:rsid w:val="3FA84948"/>
    <w:rsid w:val="3FAF2DDF"/>
    <w:rsid w:val="3FE34CD0"/>
    <w:rsid w:val="4106480E"/>
    <w:rsid w:val="41600431"/>
    <w:rsid w:val="42075FF8"/>
    <w:rsid w:val="42E77C3D"/>
    <w:rsid w:val="45763769"/>
    <w:rsid w:val="46271B24"/>
    <w:rsid w:val="465D0053"/>
    <w:rsid w:val="468567BB"/>
    <w:rsid w:val="4782487D"/>
    <w:rsid w:val="483002E2"/>
    <w:rsid w:val="48D62926"/>
    <w:rsid w:val="49112086"/>
    <w:rsid w:val="49344560"/>
    <w:rsid w:val="495751DE"/>
    <w:rsid w:val="4A32695E"/>
    <w:rsid w:val="4AB820A2"/>
    <w:rsid w:val="4AC93DD1"/>
    <w:rsid w:val="4B4F618D"/>
    <w:rsid w:val="4BAD0151"/>
    <w:rsid w:val="4C8F75A2"/>
    <w:rsid w:val="4CAD0AB1"/>
    <w:rsid w:val="4CB701C3"/>
    <w:rsid w:val="4E1A4A99"/>
    <w:rsid w:val="4E8C008E"/>
    <w:rsid w:val="4FD14828"/>
    <w:rsid w:val="4FE76A45"/>
    <w:rsid w:val="506A72A7"/>
    <w:rsid w:val="50771A9C"/>
    <w:rsid w:val="52EC23F5"/>
    <w:rsid w:val="52FA3ECC"/>
    <w:rsid w:val="53177E08"/>
    <w:rsid w:val="53854CE8"/>
    <w:rsid w:val="53BF0A7B"/>
    <w:rsid w:val="5455382C"/>
    <w:rsid w:val="545E542E"/>
    <w:rsid w:val="54E0475B"/>
    <w:rsid w:val="566B5FD6"/>
    <w:rsid w:val="56A53892"/>
    <w:rsid w:val="5728175E"/>
    <w:rsid w:val="5734171E"/>
    <w:rsid w:val="579E47FB"/>
    <w:rsid w:val="57B819BF"/>
    <w:rsid w:val="57C512E5"/>
    <w:rsid w:val="586B0701"/>
    <w:rsid w:val="58BD4DB3"/>
    <w:rsid w:val="59710D46"/>
    <w:rsid w:val="59C90057"/>
    <w:rsid w:val="5A071E36"/>
    <w:rsid w:val="5B243E89"/>
    <w:rsid w:val="5B800F26"/>
    <w:rsid w:val="5C124930"/>
    <w:rsid w:val="5C4A7838"/>
    <w:rsid w:val="5E291F62"/>
    <w:rsid w:val="5EB9456E"/>
    <w:rsid w:val="5EFC3EB9"/>
    <w:rsid w:val="5F423385"/>
    <w:rsid w:val="5F796A42"/>
    <w:rsid w:val="60605BAC"/>
    <w:rsid w:val="60C53B7A"/>
    <w:rsid w:val="60E308E3"/>
    <w:rsid w:val="62330506"/>
    <w:rsid w:val="62C51434"/>
    <w:rsid w:val="632E2511"/>
    <w:rsid w:val="63553057"/>
    <w:rsid w:val="63A9427A"/>
    <w:rsid w:val="63AB062A"/>
    <w:rsid w:val="63D462B1"/>
    <w:rsid w:val="641A3596"/>
    <w:rsid w:val="644B0163"/>
    <w:rsid w:val="647C6435"/>
    <w:rsid w:val="65493C57"/>
    <w:rsid w:val="658845F7"/>
    <w:rsid w:val="65E40ADA"/>
    <w:rsid w:val="66330B86"/>
    <w:rsid w:val="667879D5"/>
    <w:rsid w:val="66A70F60"/>
    <w:rsid w:val="66E22203"/>
    <w:rsid w:val="67133952"/>
    <w:rsid w:val="67330CCC"/>
    <w:rsid w:val="67C95196"/>
    <w:rsid w:val="68C36416"/>
    <w:rsid w:val="69C42446"/>
    <w:rsid w:val="69D50CF4"/>
    <w:rsid w:val="6AA97CAB"/>
    <w:rsid w:val="6AD401BA"/>
    <w:rsid w:val="6C487AFD"/>
    <w:rsid w:val="6CB24363"/>
    <w:rsid w:val="6D926B67"/>
    <w:rsid w:val="6DA52693"/>
    <w:rsid w:val="6DE728CA"/>
    <w:rsid w:val="6FA23F69"/>
    <w:rsid w:val="6FCF0795"/>
    <w:rsid w:val="70076B11"/>
    <w:rsid w:val="70480305"/>
    <w:rsid w:val="71646B2B"/>
    <w:rsid w:val="72D75444"/>
    <w:rsid w:val="736343F9"/>
    <w:rsid w:val="73634FBB"/>
    <w:rsid w:val="73AC4DB9"/>
    <w:rsid w:val="741C016E"/>
    <w:rsid w:val="745F66ED"/>
    <w:rsid w:val="752F0ACE"/>
    <w:rsid w:val="75306550"/>
    <w:rsid w:val="75331EE9"/>
    <w:rsid w:val="754D1D92"/>
    <w:rsid w:val="75BD46DB"/>
    <w:rsid w:val="76536663"/>
    <w:rsid w:val="77F474AF"/>
    <w:rsid w:val="78202D4E"/>
    <w:rsid w:val="78273E08"/>
    <w:rsid w:val="784F3822"/>
    <w:rsid w:val="78E44CAE"/>
    <w:rsid w:val="79967A89"/>
    <w:rsid w:val="7A3B22B0"/>
    <w:rsid w:val="7A995229"/>
    <w:rsid w:val="7B550DA5"/>
    <w:rsid w:val="7B5F74F8"/>
    <w:rsid w:val="7B690630"/>
    <w:rsid w:val="7BB6153E"/>
    <w:rsid w:val="7BF24BF0"/>
    <w:rsid w:val="7C387CDA"/>
    <w:rsid w:val="7CE74C9B"/>
    <w:rsid w:val="7CF47CCC"/>
    <w:rsid w:val="7D040AB6"/>
    <w:rsid w:val="7D4119E6"/>
    <w:rsid w:val="7E3F39F1"/>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99"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6">
    <w:name w:val="heading 2"/>
    <w:next w:val="1"/>
    <w:link w:val="40"/>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link w:val="36"/>
    <w:unhideWhenUsed/>
    <w:qFormat/>
    <w:uiPriority w:val="99"/>
    <w:pPr>
      <w:spacing w:after="120" w:line="360" w:lineRule="auto"/>
      <w:ind w:left="420" w:leftChars="200" w:firstLine="420" w:firstLineChars="200"/>
    </w:pPr>
    <w:rPr>
      <w:rFonts w:ascii="宋体" w:hAnsi="Times New Roman"/>
      <w:kern w:val="0"/>
      <w:sz w:val="21"/>
      <w:szCs w:val="24"/>
    </w:rPr>
  </w:style>
  <w:style w:type="paragraph" w:styleId="3">
    <w:name w:val="Body Text Indent"/>
    <w:basedOn w:val="1"/>
    <w:next w:val="4"/>
    <w:unhideWhenUsed/>
    <w:qFormat/>
    <w:uiPriority w:val="99"/>
    <w:pPr>
      <w:ind w:firstLine="630"/>
    </w:pPr>
    <w:rPr>
      <w:rFonts w:ascii="Calibri"/>
      <w:sz w:val="32"/>
      <w:szCs w:val="20"/>
    </w:rPr>
  </w:style>
  <w:style w:type="paragraph" w:styleId="4">
    <w:name w:val="envelope return"/>
    <w:basedOn w:val="1"/>
    <w:qFormat/>
    <w:uiPriority w:val="0"/>
    <w:rPr>
      <w:rFonts w:ascii="Arial" w:hAnsi="Arial"/>
    </w:rPr>
  </w:style>
  <w:style w:type="paragraph" w:styleId="7">
    <w:name w:val="index 8"/>
    <w:basedOn w:val="1"/>
    <w:next w:val="1"/>
    <w:semiHidden/>
    <w:qFormat/>
    <w:uiPriority w:val="99"/>
    <w:pPr>
      <w:ind w:left="2940"/>
    </w:pPr>
  </w:style>
  <w:style w:type="paragraph" w:styleId="8">
    <w:name w:val="Normal Indent"/>
    <w:basedOn w:val="1"/>
    <w:next w:val="1"/>
    <w:qFormat/>
    <w:uiPriority w:val="0"/>
    <w:pPr>
      <w:ind w:firstLine="420" w:firstLineChars="200"/>
    </w:pPr>
    <w:rPr>
      <w:kern w:val="0"/>
      <w:sz w:val="24"/>
      <w:szCs w:val="20"/>
    </w:rPr>
  </w:style>
  <w:style w:type="paragraph" w:styleId="9">
    <w:name w:val="annotation text"/>
    <w:basedOn w:val="1"/>
    <w:link w:val="37"/>
    <w:qFormat/>
    <w:uiPriority w:val="0"/>
    <w:pPr>
      <w:jc w:val="left"/>
    </w:pPr>
  </w:style>
  <w:style w:type="paragraph" w:styleId="10">
    <w:name w:val="Body Text"/>
    <w:basedOn w:val="1"/>
    <w:qFormat/>
    <w:uiPriority w:val="0"/>
    <w:pPr>
      <w:spacing w:after="120"/>
    </w:pPr>
  </w:style>
  <w:style w:type="paragraph" w:styleId="11">
    <w:name w:val="Body Text Indent 2"/>
    <w:basedOn w:val="1"/>
    <w:link w:val="32"/>
    <w:qFormat/>
    <w:uiPriority w:val="0"/>
    <w:pPr>
      <w:spacing w:after="120" w:line="480" w:lineRule="auto"/>
      <w:ind w:left="420" w:leftChars="200"/>
    </w:pPr>
    <w:rPr>
      <w:szCs w:val="20"/>
    </w:rPr>
  </w:style>
  <w:style w:type="paragraph" w:styleId="12">
    <w:name w:val="Balloon Text"/>
    <w:basedOn w:val="1"/>
    <w:link w:val="39"/>
    <w:qFormat/>
    <w:uiPriority w:val="0"/>
    <w:rPr>
      <w:sz w:val="18"/>
      <w:szCs w:val="18"/>
    </w:rPr>
  </w:style>
  <w:style w:type="paragraph" w:styleId="13">
    <w:name w:val="footer"/>
    <w:basedOn w:val="1"/>
    <w:link w:val="44"/>
    <w:unhideWhenUsed/>
    <w:qFormat/>
    <w:uiPriority w:val="99"/>
    <w:pPr>
      <w:tabs>
        <w:tab w:val="center" w:pos="4153"/>
        <w:tab w:val="right" w:pos="8306"/>
      </w:tabs>
      <w:snapToGrid w:val="0"/>
      <w:jc w:val="left"/>
    </w:pPr>
    <w:rPr>
      <w:sz w:val="18"/>
      <w:szCs w:val="18"/>
    </w:rPr>
  </w:style>
  <w:style w:type="paragraph" w:styleId="14">
    <w:name w:val="header"/>
    <w:basedOn w:val="1"/>
    <w:next w:val="10"/>
    <w:link w:val="45"/>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style>
  <w:style w:type="paragraph" w:styleId="16">
    <w:name w:val="Body Text 2"/>
    <w:basedOn w:val="1"/>
    <w:unhideWhenUsed/>
    <w:qFormat/>
    <w:uiPriority w:val="99"/>
    <w:pPr>
      <w:widowControl/>
      <w:spacing w:after="120" w:line="480" w:lineRule="auto"/>
    </w:pPr>
  </w:style>
  <w:style w:type="paragraph" w:styleId="17">
    <w:name w:val="annotation subject"/>
    <w:basedOn w:val="9"/>
    <w:next w:val="9"/>
    <w:link w:val="38"/>
    <w:qFormat/>
    <w:uiPriority w:val="0"/>
    <w:rPr>
      <w:b/>
      <w:bCs/>
    </w:rPr>
  </w:style>
  <w:style w:type="paragraph" w:styleId="18">
    <w:name w:val="Body Text First Indent"/>
    <w:basedOn w:val="10"/>
    <w:link w:val="33"/>
    <w:qFormat/>
    <w:uiPriority w:val="0"/>
    <w:pPr>
      <w:snapToGrid w:val="0"/>
      <w:spacing w:before="40" w:after="40" w:line="288" w:lineRule="auto"/>
      <w:ind w:firstLine="482"/>
    </w:pPr>
    <w:rPr>
      <w:rFonts w:ascii="仿宋_GB2312" w:hAnsi="仿宋_GB2312" w:eastAsia="仿宋_GB2312"/>
      <w:szCs w:val="20"/>
    </w:rPr>
  </w:style>
  <w:style w:type="table" w:styleId="20">
    <w:name w:val="Table Grid"/>
    <w:basedOn w:val="1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qFormat/>
    <w:uiPriority w:val="0"/>
    <w:rPr>
      <w:color w:val="0000FF"/>
      <w:u w:val="single"/>
    </w:rPr>
  </w:style>
  <w:style w:type="character" w:styleId="23">
    <w:name w:val="annotation reference"/>
    <w:basedOn w:val="21"/>
    <w:qFormat/>
    <w:uiPriority w:val="0"/>
    <w:rPr>
      <w:sz w:val="21"/>
      <w:szCs w:val="21"/>
    </w:rPr>
  </w:style>
  <w:style w:type="paragraph" w:customStyle="1" w:styleId="24">
    <w:name w:val="标题 5（有编号）（绿盟科技）"/>
    <w:basedOn w:val="25"/>
    <w:next w:val="26"/>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5">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6">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7">
    <w:name w:val="13、表格内居中正文"/>
    <w:basedOn w:val="1"/>
    <w:qFormat/>
    <w:uiPriority w:val="0"/>
    <w:pPr>
      <w:wordWrap w:val="0"/>
      <w:topLinePunct/>
      <w:spacing w:line="360" w:lineRule="exact"/>
      <w:jc w:val="center"/>
    </w:pPr>
    <w:rPr>
      <w:rFonts w:ascii="宋体" w:hAnsi="宋体" w:eastAsia="宋体"/>
    </w:rPr>
  </w:style>
  <w:style w:type="paragraph" w:customStyle="1" w:styleId="28">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9">
    <w:name w:val="List Paragraph"/>
    <w:basedOn w:val="1"/>
    <w:qFormat/>
    <w:uiPriority w:val="0"/>
    <w:pPr>
      <w:spacing w:line="500" w:lineRule="exact"/>
      <w:ind w:firstLine="420" w:firstLineChars="200"/>
    </w:pPr>
    <w:rPr>
      <w:szCs w:val="24"/>
    </w:rPr>
  </w:style>
  <w:style w:type="paragraph" w:customStyle="1" w:styleId="30">
    <w:name w:val="正文首行缩进两字符"/>
    <w:basedOn w:val="1"/>
    <w:qFormat/>
    <w:uiPriority w:val="0"/>
    <w:pPr>
      <w:spacing w:line="360" w:lineRule="auto"/>
      <w:ind w:firstLine="200" w:firstLineChars="200"/>
    </w:pPr>
  </w:style>
  <w:style w:type="paragraph" w:customStyle="1" w:styleId="31">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2">
    <w:name w:val="正文文本缩进 2 字符"/>
    <w:link w:val="11"/>
    <w:qFormat/>
    <w:uiPriority w:val="0"/>
    <w:rPr>
      <w:szCs w:val="20"/>
    </w:rPr>
  </w:style>
  <w:style w:type="character" w:customStyle="1" w:styleId="33">
    <w:name w:val="正文首行缩进 字符"/>
    <w:link w:val="18"/>
    <w:qFormat/>
    <w:uiPriority w:val="0"/>
    <w:rPr>
      <w:rFonts w:ascii="仿宋_GB2312" w:hAnsi="仿宋_GB2312" w:eastAsia="仿宋_GB2312"/>
      <w:szCs w:val="20"/>
    </w:rPr>
  </w:style>
  <w:style w:type="paragraph" w:customStyle="1" w:styleId="34">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5">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6">
    <w:name w:val="正文首行缩进 2 字符"/>
    <w:link w:val="2"/>
    <w:qFormat/>
    <w:uiPriority w:val="99"/>
    <w:rPr>
      <w:rFonts w:ascii="宋体" w:hAnsi="Times New Roman"/>
      <w:kern w:val="0"/>
      <w:sz w:val="21"/>
      <w:szCs w:val="24"/>
    </w:rPr>
  </w:style>
  <w:style w:type="character" w:customStyle="1" w:styleId="37">
    <w:name w:val="批注文字 字符"/>
    <w:basedOn w:val="21"/>
    <w:link w:val="9"/>
    <w:qFormat/>
    <w:uiPriority w:val="0"/>
    <w:rPr>
      <w:kern w:val="2"/>
      <w:sz w:val="21"/>
      <w:szCs w:val="22"/>
    </w:rPr>
  </w:style>
  <w:style w:type="character" w:customStyle="1" w:styleId="38">
    <w:name w:val="批注主题 字符"/>
    <w:basedOn w:val="37"/>
    <w:link w:val="17"/>
    <w:qFormat/>
    <w:uiPriority w:val="0"/>
    <w:rPr>
      <w:b/>
      <w:bCs/>
      <w:kern w:val="2"/>
      <w:sz w:val="21"/>
      <w:szCs w:val="22"/>
    </w:rPr>
  </w:style>
  <w:style w:type="character" w:customStyle="1" w:styleId="39">
    <w:name w:val="批注框文本 字符"/>
    <w:basedOn w:val="21"/>
    <w:link w:val="12"/>
    <w:qFormat/>
    <w:uiPriority w:val="0"/>
    <w:rPr>
      <w:kern w:val="2"/>
      <w:sz w:val="18"/>
      <w:szCs w:val="18"/>
    </w:rPr>
  </w:style>
  <w:style w:type="character" w:customStyle="1" w:styleId="40">
    <w:name w:val="标题 2 字符"/>
    <w:link w:val="6"/>
    <w:qFormat/>
    <w:uiPriority w:val="0"/>
    <w:rPr>
      <w:rFonts w:ascii="Times New Roman" w:hAnsi="Times New Roman" w:eastAsia="仿宋" w:cs="Times New Roman"/>
      <w:b/>
      <w:sz w:val="32"/>
    </w:rPr>
  </w:style>
  <w:style w:type="paragraph" w:customStyle="1" w:styleId="41">
    <w:name w:val="_Style 2"/>
    <w:basedOn w:val="1"/>
    <w:qFormat/>
    <w:uiPriority w:val="0"/>
    <w:pPr>
      <w:ind w:firstLine="420" w:firstLineChars="200"/>
    </w:pPr>
    <w:rPr>
      <w:sz w:val="18"/>
      <w:szCs w:val="18"/>
    </w:rPr>
  </w:style>
  <w:style w:type="paragraph" w:styleId="42">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3">
    <w:name w:val="列出段落1"/>
    <w:basedOn w:val="1"/>
    <w:qFormat/>
    <w:uiPriority w:val="0"/>
    <w:pPr>
      <w:ind w:firstLine="420" w:firstLineChars="200"/>
    </w:pPr>
    <w:rPr>
      <w:rFonts w:ascii="Times New Roman" w:hAnsi="Times New Roman" w:eastAsia="宋体" w:cs="Times New Roman"/>
      <w:szCs w:val="20"/>
    </w:rPr>
  </w:style>
  <w:style w:type="character" w:customStyle="1" w:styleId="44">
    <w:name w:val="页脚 字符"/>
    <w:basedOn w:val="21"/>
    <w:link w:val="13"/>
    <w:qFormat/>
    <w:uiPriority w:val="99"/>
    <w:rPr>
      <w:rFonts w:asciiTheme="minorHAnsi" w:hAnsiTheme="minorHAnsi" w:eastAsiaTheme="minorEastAsia" w:cstheme="minorBidi"/>
      <w:kern w:val="2"/>
      <w:sz w:val="18"/>
      <w:szCs w:val="18"/>
    </w:rPr>
  </w:style>
  <w:style w:type="character" w:customStyle="1" w:styleId="45">
    <w:name w:val="页眉 字符"/>
    <w:basedOn w:val="21"/>
    <w:link w:val="14"/>
    <w:qFormat/>
    <w:uiPriority w:val="99"/>
    <w:rPr>
      <w:rFonts w:asciiTheme="minorHAnsi" w:hAnsiTheme="minorHAnsi" w:eastAsiaTheme="minorEastAsia" w:cstheme="minorBidi"/>
      <w:kern w:val="2"/>
      <w:sz w:val="18"/>
      <w:szCs w:val="18"/>
    </w:rPr>
  </w:style>
  <w:style w:type="paragraph" w:styleId="4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47">
    <w:name w:val="正文空2字"/>
    <w:basedOn w:val="16"/>
    <w:autoRedefine/>
    <w:qFormat/>
    <w:uiPriority w:val="0"/>
    <w:pPr>
      <w:widowControl w:val="0"/>
      <w:spacing w:after="0" w:line="560" w:lineRule="exact"/>
      <w:ind w:firstLine="648"/>
    </w:pPr>
    <w:rPr>
      <w:rFonts w:ascii="仿宋_GB2312" w:hAnsi="微软雅黑"/>
      <w:color w:val="000000"/>
      <w:spacing w:val="2"/>
      <w:szCs w:val="26"/>
      <w:shd w:val="clear" w:color="auto" w:fill="FFFFFF"/>
      <w:lang w:val="zh-TW"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2.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FBB5AF-8AC1-45F6-B811-32B71A87A854}">
  <ds:schemaRefs/>
</ds:datastoreItem>
</file>

<file path=docProps/app.xml><?xml version="1.0" encoding="utf-8"?>
<Properties xmlns="http://schemas.openxmlformats.org/officeDocument/2006/extended-properties" xmlns:vt="http://schemas.openxmlformats.org/officeDocument/2006/docPropsVTypes">
  <Template>Normal</Template>
  <Pages>28</Pages>
  <Words>119</Words>
  <Characters>132</Characters>
  <Lines>59</Lines>
  <Paragraphs>16</Paragraphs>
  <TotalTime>0</TotalTime>
  <ScaleCrop>false</ScaleCrop>
  <LinksUpToDate>false</LinksUpToDate>
  <CharactersWithSpaces>150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2024-08-12T09:18:00Z</dcterms:created>
  <dc:creator>7</dc:creator>
  <cp:lastModifiedBy>Yyh</cp:lastModifiedBy>
  <dcterms:modified xsi:type="dcterms:W3CDTF">2026-03-25T00:28:04Z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4DA82CAED06742128E33922AA0A73283_13</vt:lpwstr>
  </property>
  <property fmtid="{D5CDD505-2E9C-101B-9397-08002B2CF9AE}" pid="4" name="KSOTemplateDocerSaveRecord">
    <vt:lpwstr>eyJoZGlkIjoiMGVhNTY2M2EwZDMyZTE0NTZiN2UxNDUzN2E2YmY2OTIiLCJ1c2VySWQiOiI2NzcyOTQ5MDQifQ==</vt:lpwstr>
  </property>
</Properties>
</file>