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DD6A">
      <w:pPr>
        <w:jc w:val="both"/>
        <w:rPr>
          <w:rFonts w:hint="eastAsia"/>
          <w:b/>
          <w:sz w:val="52"/>
          <w:szCs w:val="52"/>
        </w:rPr>
      </w:pPr>
    </w:p>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3C07B5D1">
      <w:pPr>
        <w:rPr>
          <w:rFonts w:ascii="宋体" w:hAnsi="宋体"/>
          <w:color w:val="000000"/>
          <w:sz w:val="36"/>
        </w:rPr>
      </w:pPr>
    </w:p>
    <w:p w14:paraId="0AA4AE27">
      <w:pPr>
        <w:ind w:firstLine="720" w:firstLineChars="200"/>
        <w:rPr>
          <w:rFonts w:ascii="宋体" w:hAnsi="宋体"/>
          <w:color w:val="000000"/>
          <w:sz w:val="36"/>
        </w:rPr>
      </w:pPr>
    </w:p>
    <w:p w14:paraId="727FA7A6">
      <w:pPr>
        <w:ind w:firstLine="723" w:firstLineChars="200"/>
        <w:rPr>
          <w:rFonts w:hint="eastAsia" w:ascii="宋体" w:hAnsi="宋体"/>
          <w:color w:val="000000"/>
          <w:sz w:val="36"/>
          <w:szCs w:val="24"/>
        </w:rPr>
      </w:pPr>
      <w:r>
        <w:rPr>
          <w:rFonts w:hint="eastAsia" w:ascii="宋体" w:hAnsi="宋体"/>
          <w:b/>
          <w:color w:val="000000"/>
          <w:sz w:val="36"/>
        </w:rPr>
        <w:t>项目编号：</w:t>
      </w:r>
      <w:r>
        <w:rPr>
          <w:rFonts w:hint="eastAsia" w:ascii="宋体" w:hAnsi="宋体"/>
          <w:b/>
          <w:color w:val="000000"/>
          <w:sz w:val="36"/>
          <w:szCs w:val="36"/>
        </w:rPr>
        <w:t>MYCH</w:t>
      </w:r>
      <w:r>
        <w:rPr>
          <w:rFonts w:hint="eastAsia" w:ascii="宋体" w:hAnsi="宋体"/>
          <w:b/>
          <w:color w:val="000000"/>
          <w:sz w:val="36"/>
          <w:szCs w:val="36"/>
          <w:lang w:val="en-US" w:eastAsia="zh-CN"/>
        </w:rPr>
        <w:t>紧急采购</w:t>
      </w:r>
      <w:r>
        <w:rPr>
          <w:rFonts w:hint="eastAsia" w:ascii="宋体" w:hAnsi="宋体"/>
          <w:b/>
          <w:color w:val="000000"/>
          <w:sz w:val="36"/>
          <w:szCs w:val="36"/>
        </w:rPr>
        <w:t>（202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2号</w:t>
      </w:r>
    </w:p>
    <w:p w14:paraId="2903C7CF">
      <w:pPr>
        <w:pStyle w:val="10"/>
      </w:pPr>
    </w:p>
    <w:p w14:paraId="5BF61F99">
      <w:pPr>
        <w:ind w:firstLine="723" w:firstLineChars="200"/>
        <w:rPr>
          <w:rFonts w:hint="eastAsia" w:ascii="宋体" w:hAnsi="宋体"/>
          <w:color w:val="000000"/>
          <w:sz w:val="36"/>
          <w:szCs w:val="24"/>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rPr>
        <w:t xml:space="preserve"> </w:t>
      </w:r>
      <w:r>
        <w:rPr>
          <w:rFonts w:hint="eastAsia" w:ascii="宋体" w:hAnsi="宋体"/>
          <w:b/>
          <w:color w:val="000000"/>
          <w:sz w:val="36"/>
          <w:szCs w:val="36"/>
          <w:lang w:val="en-US" w:eastAsia="zh-CN"/>
        </w:rPr>
        <w:t>病房改造项目初步设计服务</w:t>
      </w:r>
    </w:p>
    <w:bookmarkEnd w:id="0"/>
    <w:p w14:paraId="43EBA962">
      <w:pPr>
        <w:jc w:val="both"/>
        <w:rPr>
          <w:rFonts w:ascii="宋体" w:hAnsi="宋体"/>
          <w:b/>
          <w:color w:val="000000"/>
          <w:sz w:val="36"/>
          <w:szCs w:val="36"/>
        </w:rPr>
      </w:pPr>
    </w:p>
    <w:p w14:paraId="76DA1F85">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7"/>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7"/>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7"/>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7"/>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DA670A">
      <w:pPr>
        <w:pStyle w:val="17"/>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7"/>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7"/>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fldChar w:fldCharType="end"/>
      </w:r>
    </w:p>
    <w:p w14:paraId="61662245">
      <w:pPr>
        <w:pStyle w:val="16"/>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6"/>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p>
    <w:tbl>
      <w:tblPr>
        <w:tblStyle w:val="22"/>
        <w:tblpPr w:leftFromText="180" w:rightFromText="180" w:vertAnchor="text" w:horzAnchor="page" w:tblpX="1471" w:tblpY="300"/>
        <w:tblOverlap w:val="never"/>
        <w:tblW w:w="8799"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16"/>
        <w:gridCol w:w="1707"/>
        <w:gridCol w:w="6576"/>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5" w:hRule="atLeast"/>
          <w:tblHeader/>
        </w:trPr>
        <w:tc>
          <w:tcPr>
            <w:tcW w:w="516" w:type="dxa"/>
            <w:tcBorders>
              <w:top w:val="single" w:color="auto" w:sz="18" w:space="0"/>
            </w:tcBorders>
            <w:vAlign w:val="center"/>
          </w:tcPr>
          <w:p w14:paraId="08A22A3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07" w:type="dxa"/>
            <w:tcBorders>
              <w:top w:val="single" w:color="auto" w:sz="18" w:space="0"/>
            </w:tcBorders>
            <w:vAlign w:val="center"/>
          </w:tcPr>
          <w:p w14:paraId="42B710C9">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576" w:type="dxa"/>
            <w:tcBorders>
              <w:top w:val="single" w:color="auto" w:sz="18" w:space="0"/>
            </w:tcBorders>
            <w:vAlign w:val="center"/>
          </w:tcPr>
          <w:p w14:paraId="7B4BBC22">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16" w:type="dxa"/>
            <w:tcBorders>
              <w:bottom w:val="single" w:color="auto" w:sz="4" w:space="0"/>
            </w:tcBorders>
            <w:vAlign w:val="center"/>
          </w:tcPr>
          <w:p w14:paraId="6A44BB46">
            <w:pPr>
              <w:pStyle w:val="32"/>
              <w:numPr>
                <w:ilvl w:val="0"/>
                <w:numId w:val="4"/>
              </w:numPr>
              <w:tabs>
                <w:tab w:val="left" w:pos="220"/>
                <w:tab w:val="clear" w:pos="0"/>
              </w:tabs>
              <w:adjustRightInd w:val="0"/>
              <w:snapToGrid w:val="0"/>
              <w:jc w:val="both"/>
              <w:rPr>
                <w:rFonts w:ascii="仿宋" w:hAnsi="仿宋" w:eastAsia="仿宋" w:cs="仿宋"/>
                <w:szCs w:val="21"/>
                <w:lang w:val="zh-CN"/>
              </w:rPr>
            </w:pPr>
          </w:p>
        </w:tc>
        <w:tc>
          <w:tcPr>
            <w:tcW w:w="1707" w:type="dxa"/>
            <w:tcBorders>
              <w:bottom w:val="single" w:color="auto" w:sz="4" w:space="0"/>
            </w:tcBorders>
            <w:vAlign w:val="center"/>
          </w:tcPr>
          <w:p w14:paraId="70A81A08">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576" w:type="dxa"/>
            <w:tcBorders>
              <w:bottom w:val="single" w:color="auto" w:sz="4" w:space="0"/>
            </w:tcBorders>
            <w:vAlign w:val="center"/>
          </w:tcPr>
          <w:p w14:paraId="3BF6F4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16" w:type="dxa"/>
            <w:tcBorders>
              <w:bottom w:val="single" w:color="auto" w:sz="4" w:space="0"/>
            </w:tcBorders>
            <w:vAlign w:val="center"/>
          </w:tcPr>
          <w:p w14:paraId="7368B85C">
            <w:pPr>
              <w:pStyle w:val="32"/>
              <w:numPr>
                <w:ilvl w:val="0"/>
                <w:numId w:val="4"/>
              </w:numPr>
              <w:tabs>
                <w:tab w:val="left" w:pos="220"/>
                <w:tab w:val="clear" w:pos="0"/>
              </w:tabs>
              <w:adjustRightInd w:val="0"/>
              <w:snapToGrid w:val="0"/>
              <w:jc w:val="both"/>
              <w:rPr>
                <w:rFonts w:ascii="仿宋" w:hAnsi="仿宋" w:eastAsia="仿宋" w:cs="仿宋"/>
                <w:szCs w:val="21"/>
                <w:lang w:val="zh-CN"/>
              </w:rPr>
            </w:pPr>
          </w:p>
        </w:tc>
        <w:tc>
          <w:tcPr>
            <w:tcW w:w="1707" w:type="dxa"/>
            <w:tcBorders>
              <w:bottom w:val="single" w:color="auto" w:sz="4" w:space="0"/>
            </w:tcBorders>
            <w:vAlign w:val="center"/>
          </w:tcPr>
          <w:p w14:paraId="6D4B43AB">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576" w:type="dxa"/>
            <w:tcBorders>
              <w:bottom w:val="single" w:color="auto" w:sz="4" w:space="0"/>
            </w:tcBorders>
            <w:vAlign w:val="center"/>
          </w:tcPr>
          <w:p w14:paraId="1EB134AC">
            <w:pPr>
              <w:spacing w:line="360" w:lineRule="auto"/>
              <w:ind w:firstLine="1760" w:firstLineChars="800"/>
              <w:rPr>
                <w:rFonts w:hint="eastAsia" w:ascii="仿宋" w:hAnsi="仿宋" w:eastAsia="仿宋" w:cs="仿宋"/>
                <w:sz w:val="22"/>
              </w:rPr>
            </w:pPr>
            <w:r>
              <w:rPr>
                <w:rFonts w:hint="eastAsia" w:ascii="仿宋" w:hAnsi="仿宋" w:eastAsia="仿宋" w:cs="仿宋"/>
                <w:sz w:val="22"/>
                <w:lang w:val="en-US" w:eastAsia="zh-CN"/>
              </w:rPr>
              <w:t>病房改造项目初步设计服务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516" w:type="dxa"/>
            <w:vAlign w:val="center"/>
          </w:tcPr>
          <w:p w14:paraId="0746C71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576" w:type="dxa"/>
            <w:vAlign w:val="center"/>
          </w:tcPr>
          <w:p w14:paraId="630F1007">
            <w:pPr>
              <w:spacing w:line="360" w:lineRule="auto"/>
              <w:ind w:firstLine="1760" w:firstLineChars="800"/>
              <w:rPr>
                <w:rFonts w:hint="default" w:ascii="仿宋" w:hAnsi="仿宋" w:eastAsia="仿宋" w:cs="仿宋"/>
                <w:sz w:val="22"/>
                <w:lang w:val="en-US" w:eastAsia="zh-CN"/>
              </w:rPr>
            </w:pPr>
            <w:r>
              <w:rPr>
                <w:rFonts w:hint="eastAsia" w:ascii="仿宋" w:hAnsi="仿宋" w:eastAsia="仿宋" w:cs="仿宋"/>
                <w:sz w:val="22"/>
                <w:lang w:val="en-US" w:eastAsia="zh-CN"/>
              </w:rPr>
              <w:t>MYCH紧急采购（2026）002号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3" w:hRule="atLeast"/>
        </w:trPr>
        <w:tc>
          <w:tcPr>
            <w:tcW w:w="516" w:type="dxa"/>
            <w:vAlign w:val="center"/>
          </w:tcPr>
          <w:p w14:paraId="622DD974">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576"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5" w:hRule="atLeast"/>
        </w:trPr>
        <w:tc>
          <w:tcPr>
            <w:tcW w:w="516" w:type="dxa"/>
            <w:vAlign w:val="center"/>
          </w:tcPr>
          <w:p w14:paraId="4655DEE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576"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29万元（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8" w:hRule="atLeast"/>
        </w:trPr>
        <w:tc>
          <w:tcPr>
            <w:tcW w:w="516" w:type="dxa"/>
            <w:vAlign w:val="center"/>
          </w:tcPr>
          <w:p w14:paraId="421AD4F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576"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trPr>
        <w:tc>
          <w:tcPr>
            <w:tcW w:w="516" w:type="dxa"/>
            <w:vAlign w:val="center"/>
          </w:tcPr>
          <w:p w14:paraId="13662706">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576"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trPr>
        <w:tc>
          <w:tcPr>
            <w:tcW w:w="516" w:type="dxa"/>
            <w:vAlign w:val="center"/>
          </w:tcPr>
          <w:p w14:paraId="1971B4FB">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75A08A2C">
            <w:pPr>
              <w:pStyle w:val="34"/>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576"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trPr>
        <w:tc>
          <w:tcPr>
            <w:tcW w:w="516" w:type="dxa"/>
            <w:vMerge w:val="restart"/>
            <w:vAlign w:val="center"/>
          </w:tcPr>
          <w:p w14:paraId="5A07659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576"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48" w:hRule="atLeast"/>
        </w:trPr>
        <w:tc>
          <w:tcPr>
            <w:tcW w:w="516" w:type="dxa"/>
            <w:vMerge w:val="continue"/>
            <w:vAlign w:val="center"/>
          </w:tcPr>
          <w:p w14:paraId="5F0F915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Merge w:val="continue"/>
            <w:vAlign w:val="center"/>
          </w:tcPr>
          <w:p w14:paraId="03C7A19A">
            <w:pPr>
              <w:spacing w:line="360" w:lineRule="auto"/>
              <w:jc w:val="center"/>
              <w:rPr>
                <w:rFonts w:ascii="仿宋" w:hAnsi="仿宋" w:eastAsia="仿宋" w:cs="仿宋"/>
                <w:kern w:val="0"/>
                <w:sz w:val="22"/>
              </w:rPr>
            </w:pPr>
          </w:p>
        </w:tc>
        <w:tc>
          <w:tcPr>
            <w:tcW w:w="6576" w:type="dxa"/>
            <w:tcBorders>
              <w:top w:val="single" w:color="auto" w:sz="4" w:space="0"/>
            </w:tcBorders>
            <w:vAlign w:val="center"/>
          </w:tcPr>
          <w:p w14:paraId="104A543E">
            <w:pPr>
              <w:pStyle w:val="10"/>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10"/>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1" w:hRule="atLeast"/>
        </w:trPr>
        <w:tc>
          <w:tcPr>
            <w:tcW w:w="516" w:type="dxa"/>
            <w:vAlign w:val="center"/>
          </w:tcPr>
          <w:p w14:paraId="43017CE7">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576"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sz w:val="24"/>
                <w:szCs w:val="24"/>
              </w:rPr>
              <w:t>1</w:t>
            </w:r>
            <w:r>
              <w:rPr>
                <w:rFonts w:hint="eastAsia" w:ascii="仿宋" w:hAnsi="仿宋" w:eastAsia="仿宋" w:cs="仿宋"/>
                <w:kern w:val="2"/>
                <w:sz w:val="22"/>
                <w:szCs w:val="22"/>
                <w:lang w:val="en-US" w:eastAsia="zh-CN" w:bidi="ar-SA"/>
              </w:rPr>
              <w:t>.</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交款金额：/</w:t>
            </w:r>
          </w:p>
          <w:p w14:paraId="24C6D2CD">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交款方式：投标保证金以非现金形式提交。（包括网银转账，电汇等方式）</w:t>
            </w:r>
          </w:p>
          <w:p w14:paraId="49A88332">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(1)</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收款单位：/</w:t>
            </w:r>
          </w:p>
          <w:p w14:paraId="55F31524">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开户行：/</w:t>
            </w:r>
          </w:p>
          <w:p w14:paraId="117B8977">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银行账号；/</w:t>
            </w:r>
          </w:p>
          <w:p w14:paraId="0C319C32">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交款时间：/</w:t>
            </w:r>
          </w:p>
          <w:p w14:paraId="0B94BB0C">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4.</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退还时间及方式：未中标供应商在评标结束后7个工作日内无息退还。成交供应商在签订合同后7个工作日无息退还。</w:t>
            </w:r>
          </w:p>
          <w:p w14:paraId="60983E8D">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w:t>
            </w:r>
            <w:r>
              <w:rPr>
                <w:rFonts w:hint="eastAsia" w:ascii="仿宋" w:hAnsi="仿宋" w:eastAsia="仿宋" w:cs="仿宋"/>
                <w:kern w:val="2"/>
                <w:sz w:val="22"/>
                <w:szCs w:val="22"/>
                <w:lang w:val="en-US" w:eastAsia="zh-CN" w:bidi="ar-SA"/>
              </w:rPr>
              <w:tab/>
            </w:r>
            <w:r>
              <w:rPr>
                <w:rFonts w:hint="eastAsia" w:ascii="仿宋" w:hAnsi="仿宋" w:eastAsia="仿宋" w:cs="仿宋"/>
                <w:kern w:val="2"/>
                <w:sz w:val="22"/>
                <w:szCs w:val="22"/>
                <w:lang w:val="en-US" w:eastAsia="zh-CN" w:bidi="ar-SA"/>
              </w:rPr>
              <w:t>投标保证金不予退还情形：</w:t>
            </w:r>
          </w:p>
          <w:p w14:paraId="3AFAEA80">
            <w:pPr>
              <w:spacing w:line="360" w:lineRule="auto"/>
              <w:ind w:firstLine="220" w:firstLine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（1）供应商在提交响应文件截止时间后撤回响应文件的;</w:t>
            </w:r>
          </w:p>
          <w:p w14:paraId="2D3A0BD2">
            <w:pPr>
              <w:spacing w:line="360" w:lineRule="auto"/>
              <w:ind w:firstLine="220" w:firstLine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（2）供应商在响应文件中提供虚假材料的;</w:t>
            </w:r>
          </w:p>
          <w:p w14:paraId="2156917E">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（3）除因不可抗力或磋商文件认可的情形以外，成交供应商不与采购人签订合同的;</w:t>
            </w:r>
          </w:p>
          <w:p w14:paraId="14C76CF9">
            <w:pPr>
              <w:spacing w:line="360" w:lineRule="auto"/>
              <w:ind w:left="210" w:leftChars="1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kern w:val="2"/>
                <w:sz w:val="22"/>
                <w:szCs w:val="22"/>
                <w:lang w:val="en-US" w:eastAsia="zh-CN" w:bidi="ar-SA"/>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trPr>
        <w:tc>
          <w:tcPr>
            <w:tcW w:w="516" w:type="dxa"/>
            <w:vMerge w:val="restart"/>
            <w:vAlign w:val="center"/>
          </w:tcPr>
          <w:p w14:paraId="24C5DE0A">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Merge w:val="restart"/>
            <w:vAlign w:val="center"/>
          </w:tcPr>
          <w:p w14:paraId="22182857">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576" w:type="dxa"/>
            <w:tcBorders>
              <w:bottom w:val="single" w:color="auto" w:sz="4" w:space="0"/>
            </w:tcBorders>
            <w:vAlign w:val="center"/>
          </w:tcPr>
          <w:p w14:paraId="05B07782">
            <w:pPr>
              <w:pStyle w:val="33"/>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1" w:hRule="atLeast"/>
        </w:trPr>
        <w:tc>
          <w:tcPr>
            <w:tcW w:w="516" w:type="dxa"/>
            <w:vMerge w:val="continue"/>
            <w:vAlign w:val="center"/>
          </w:tcPr>
          <w:p w14:paraId="6C96019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Merge w:val="continue"/>
            <w:vAlign w:val="center"/>
          </w:tcPr>
          <w:p w14:paraId="419AAFB4">
            <w:pPr>
              <w:pStyle w:val="33"/>
              <w:spacing w:line="360" w:lineRule="auto"/>
              <w:jc w:val="center"/>
              <w:rPr>
                <w:rFonts w:ascii="仿宋" w:hAnsi="仿宋" w:eastAsia="仿宋" w:cs="仿宋"/>
                <w:sz w:val="22"/>
                <w:szCs w:val="22"/>
              </w:rPr>
            </w:pPr>
          </w:p>
        </w:tc>
        <w:tc>
          <w:tcPr>
            <w:tcW w:w="6576" w:type="dxa"/>
            <w:tcBorders>
              <w:top w:val="single" w:color="auto" w:sz="4" w:space="0"/>
            </w:tcBorders>
            <w:vAlign w:val="center"/>
          </w:tcPr>
          <w:p w14:paraId="60CDF9B1">
            <w:pPr>
              <w:pStyle w:val="33"/>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3"/>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3"/>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93" w:hRule="atLeast"/>
        </w:trPr>
        <w:tc>
          <w:tcPr>
            <w:tcW w:w="516" w:type="dxa"/>
            <w:vAlign w:val="center"/>
          </w:tcPr>
          <w:p w14:paraId="52B6C5C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576"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5" w:hRule="atLeast"/>
        </w:trPr>
        <w:tc>
          <w:tcPr>
            <w:tcW w:w="516" w:type="dxa"/>
            <w:vAlign w:val="center"/>
          </w:tcPr>
          <w:p w14:paraId="5EFE8092">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07" w:type="dxa"/>
            <w:vAlign w:val="center"/>
          </w:tcPr>
          <w:p w14:paraId="5F0FA324">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576" w:type="dxa"/>
            <w:vAlign w:val="center"/>
          </w:tcPr>
          <w:p w14:paraId="256B264A">
            <w:pPr>
              <w:pStyle w:val="33"/>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采购公告公示网页附件下载</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21" w:hRule="atLeast"/>
        </w:trPr>
        <w:tc>
          <w:tcPr>
            <w:tcW w:w="516" w:type="dxa"/>
            <w:vAlign w:val="center"/>
          </w:tcPr>
          <w:p w14:paraId="3282A2B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07" w:type="dxa"/>
            <w:vAlign w:val="center"/>
          </w:tcPr>
          <w:p w14:paraId="612D730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576"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线上提交：</w:t>
            </w:r>
          </w:p>
          <w:p w14:paraId="091093D6">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3"/>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FE"/>
            </w:r>
            <w:r>
              <w:rPr>
                <w:rFonts w:hint="eastAsia" w:ascii="仿宋" w:hAnsi="仿宋" w:eastAsia="仿宋" w:cs="仿宋"/>
                <w:sz w:val="22"/>
                <w:szCs w:val="22"/>
              </w:rPr>
              <w:t>现场提交：</w:t>
            </w:r>
          </w:p>
          <w:p w14:paraId="5AD643C7">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47C95211">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en-US" w:eastAsia="zh-CN"/>
              </w:rPr>
              <w:t>提交文件方式</w:t>
            </w:r>
            <w:r>
              <w:rPr>
                <w:rFonts w:hint="eastAsia" w:ascii="仿宋" w:hAnsi="仿宋" w:eastAsia="仿宋" w:cs="仿宋"/>
                <w:sz w:val="22"/>
                <w:szCs w:val="22"/>
              </w:rPr>
              <w:t>：</w:t>
            </w:r>
            <w:r>
              <w:rPr>
                <w:rFonts w:hint="eastAsia" w:ascii="仿宋" w:hAnsi="仿宋" w:eastAsia="仿宋" w:cs="仿宋"/>
                <w:sz w:val="22"/>
                <w:szCs w:val="22"/>
                <w:lang w:val="en-US" w:eastAsia="zh-CN"/>
              </w:rPr>
              <w:t>供应商</w:t>
            </w:r>
            <w:r>
              <w:rPr>
                <w:rFonts w:hint="eastAsia" w:ascii="仿宋" w:hAnsi="仿宋" w:eastAsia="仿宋" w:cs="仿宋"/>
                <w:sz w:val="22"/>
              </w:rPr>
              <w:t>提交响应文件（盖鲜章）要求按顺序扫描成</w:t>
            </w:r>
            <w:r>
              <w:rPr>
                <w:rFonts w:hint="eastAsia" w:ascii="仿宋" w:hAnsi="仿宋" w:eastAsia="仿宋" w:cs="仿宋"/>
                <w:sz w:val="22"/>
                <w:lang w:val="en-US" w:eastAsia="zh-CN"/>
              </w:rPr>
              <w:t>一个</w:t>
            </w:r>
            <w:r>
              <w:rPr>
                <w:rFonts w:hint="eastAsia" w:ascii="仿宋" w:hAnsi="仿宋" w:eastAsia="仿宋" w:cs="仿宋"/>
                <w:sz w:val="22"/>
              </w:rPr>
              <w:t>PDF文件，</w:t>
            </w:r>
            <w:r>
              <w:rPr>
                <w:rFonts w:hint="eastAsia" w:ascii="仿宋" w:hAnsi="仿宋" w:eastAsia="仿宋" w:cs="仿宋"/>
                <w:sz w:val="22"/>
                <w:lang w:val="en-US" w:eastAsia="zh-CN"/>
              </w:rPr>
              <w:t>文件</w:t>
            </w:r>
            <w:r>
              <w:rPr>
                <w:rFonts w:hint="eastAsia" w:ascii="仿宋" w:hAnsi="仿宋" w:eastAsia="仿宋" w:cs="仿宋"/>
                <w:sz w:val="22"/>
              </w:rPr>
              <w:t>名为：项目名称+公司名称（公司全称），</w:t>
            </w:r>
            <w:r>
              <w:rPr>
                <w:rFonts w:hint="eastAsia" w:ascii="仿宋" w:hAnsi="仿宋" w:eastAsia="仿宋" w:cs="仿宋"/>
                <w:sz w:val="22"/>
                <w:lang w:val="en-US" w:eastAsia="zh-CN"/>
              </w:rPr>
              <w:t>拷贝至U盘现场递交。</w:t>
            </w:r>
          </w:p>
          <w:p w14:paraId="215E52A8">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en-US" w:eastAsia="zh-CN"/>
              </w:rPr>
              <w:t>响应文件提交截止时间：</w:t>
            </w:r>
            <w:r>
              <w:rPr>
                <w:rFonts w:hint="eastAsia" w:ascii="仿宋" w:hAnsi="仿宋" w:eastAsia="仿宋" w:cs="仿宋"/>
                <w:color w:val="auto"/>
                <w:sz w:val="22"/>
                <w:szCs w:val="22"/>
                <w:lang w:val="en-US" w:eastAsia="zh-CN" w:bidi="ar-SA"/>
              </w:rPr>
              <w:t>2026年3月26日下午16：50。</w:t>
            </w:r>
          </w:p>
          <w:p w14:paraId="235739CA">
            <w:pPr>
              <w:pStyle w:val="33"/>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2" w:hRule="atLeast"/>
        </w:trPr>
        <w:tc>
          <w:tcPr>
            <w:tcW w:w="516" w:type="dxa"/>
            <w:vAlign w:val="center"/>
          </w:tcPr>
          <w:p w14:paraId="27B4CB68">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07" w:type="dxa"/>
            <w:vAlign w:val="center"/>
          </w:tcPr>
          <w:p w14:paraId="2941E393">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576" w:type="dxa"/>
            <w:vAlign w:val="center"/>
          </w:tcPr>
          <w:p w14:paraId="4ECC7088">
            <w:pPr>
              <w:pStyle w:val="27"/>
              <w:ind w:firstLine="220" w:firstLineChars="100"/>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1、开标时间：2026年3月26日下午16：50。</w:t>
            </w:r>
          </w:p>
          <w:p w14:paraId="5EDC588A">
            <w:pPr>
              <w:spacing w:line="360" w:lineRule="auto"/>
              <w:ind w:firstLine="220" w:firstLineChars="100"/>
              <w:rPr>
                <w:rFonts w:ascii="仿宋" w:hAnsi="仿宋" w:eastAsia="仿宋" w:cs="仿宋"/>
                <w:sz w:val="24"/>
                <w:szCs w:val="24"/>
              </w:rPr>
            </w:pPr>
            <w:r>
              <w:rPr>
                <w:rFonts w:hint="eastAsia" w:ascii="仿宋" w:hAnsi="仿宋" w:eastAsia="仿宋" w:cs="仿宋"/>
                <w:color w:val="auto"/>
                <w:sz w:val="22"/>
                <w:szCs w:val="22"/>
                <w:lang w:val="en-US" w:eastAsia="zh-CN" w:bidi="ar-SA"/>
              </w:rPr>
              <w:t>2、地点：绵阳市中心医院综合楼405。</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64" w:hRule="atLeast"/>
        </w:trPr>
        <w:tc>
          <w:tcPr>
            <w:tcW w:w="516" w:type="dxa"/>
            <w:vAlign w:val="center"/>
          </w:tcPr>
          <w:p w14:paraId="1A9146F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07" w:type="dxa"/>
            <w:vAlign w:val="center"/>
          </w:tcPr>
          <w:p w14:paraId="1BD0DD15">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576"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基本建设科</w:t>
            </w:r>
          </w:p>
          <w:p w14:paraId="262E8119">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叶老师 15884649815</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290FDF5">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tc>
      </w:tr>
    </w:tbl>
    <w:p w14:paraId="1D6FB75F">
      <w:pPr>
        <w:pStyle w:val="29"/>
        <w:numPr>
          <w:ilvl w:val="4"/>
          <w:numId w:val="0"/>
        </w:numPr>
        <w:outlineLvl w:val="9"/>
      </w:pPr>
    </w:p>
    <w:p w14:paraId="44A806F1"/>
    <w:p w14:paraId="7218DC45">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2"/>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3"/>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r>
              <w:rPr>
                <w:rFonts w:hint="eastAsia" w:ascii="仿宋" w:hAnsi="仿宋" w:eastAsia="仿宋" w:cs="仿宋"/>
                <w:sz w:val="22"/>
                <w:lang w:val="zh-CN"/>
              </w:rPr>
              <w:t>工程设计建筑行业（建筑工程）甲级及以上资质。</w:t>
            </w: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1"/>
      </w:pPr>
    </w:p>
    <w:p w14:paraId="16E6B0AB">
      <w:pPr>
        <w:pStyle w:val="31"/>
      </w:pP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2"/>
        <w:numPr>
          <w:ilvl w:val="0"/>
          <w:numId w:val="0"/>
        </w:numPr>
        <w:ind w:left="402"/>
      </w:pPr>
      <w:bookmarkStart w:id="7" w:name="_Toc12193"/>
      <w:bookmarkStart w:id="8" w:name="_Toc3988"/>
      <w:bookmarkStart w:id="9" w:name="_Toc12668"/>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A736838">
      <w:pPr>
        <w:numPr>
          <w:ilvl w:val="0"/>
          <w:numId w:val="0"/>
        </w:numPr>
        <w:spacing w:line="500" w:lineRule="exact"/>
        <w:ind w:firstLine="630" w:firstLineChars="300"/>
        <w:rPr>
          <w:rFonts w:hint="eastAsia" w:eastAsia="宋体" w:cs="Times New Roman"/>
          <w:color w:val="auto"/>
          <w:lang w:eastAsia="zh-CN"/>
        </w:rPr>
      </w:pPr>
      <w:r>
        <w:rPr>
          <w:rFonts w:hint="eastAsia" w:cstheme="minorBidi"/>
          <w:b w:val="0"/>
          <w:color w:val="auto"/>
          <w:kern w:val="2"/>
          <w:sz w:val="21"/>
          <w:szCs w:val="22"/>
          <w:lang w:val="en-US" w:eastAsia="zh-CN" w:bidi="ar-SA"/>
        </w:rPr>
        <w:t>现需</w:t>
      </w:r>
      <w:r>
        <w:rPr>
          <w:rFonts w:hint="eastAsia" w:asciiTheme="minorHAnsi" w:hAnsiTheme="minorHAnsi" w:eastAsiaTheme="minorEastAsia" w:cstheme="minorBidi"/>
          <w:b w:val="0"/>
          <w:color w:val="auto"/>
          <w:kern w:val="2"/>
          <w:sz w:val="21"/>
          <w:szCs w:val="22"/>
          <w:lang w:val="en-US" w:eastAsia="zh-CN" w:bidi="ar-SA"/>
        </w:rPr>
        <w:t>采购病房改造项目初步设计服务</w:t>
      </w:r>
      <w:r>
        <w:rPr>
          <w:rFonts w:hint="eastAsia" w:cstheme="minorBidi"/>
          <w:b w:val="0"/>
          <w:color w:val="auto"/>
          <w:kern w:val="2"/>
          <w:sz w:val="21"/>
          <w:szCs w:val="22"/>
          <w:lang w:val="en-US" w:eastAsia="zh-CN" w:bidi="ar-SA"/>
        </w:rPr>
        <w:t>，</w:t>
      </w:r>
      <w:r>
        <w:rPr>
          <w:rFonts w:hint="eastAsia" w:eastAsia="宋体" w:cs="Times New Roman"/>
          <w:color w:val="auto"/>
        </w:rPr>
        <w:t>项目改造范围总建筑面积为:70545.32平</w:t>
      </w:r>
      <w:r>
        <w:rPr>
          <w:rFonts w:hint="eastAsia" w:eastAsia="宋体" w:cs="Times New Roman"/>
          <w:color w:val="auto"/>
          <w:lang w:val="en-US" w:eastAsia="zh-CN"/>
        </w:rPr>
        <w:t>方</w:t>
      </w:r>
      <w:r>
        <w:rPr>
          <w:rFonts w:hint="eastAsia" w:eastAsia="宋体" w:cs="Times New Roman"/>
          <w:color w:val="auto"/>
        </w:rPr>
        <w:t>米。其中第一住院楼改造面积为:52036.80平</w:t>
      </w:r>
      <w:r>
        <w:rPr>
          <w:rFonts w:hint="eastAsia" w:eastAsia="宋体" w:cs="Times New Roman"/>
          <w:color w:val="auto"/>
          <w:lang w:val="en-US" w:eastAsia="zh-CN"/>
        </w:rPr>
        <w:t>方</w:t>
      </w:r>
      <w:r>
        <w:rPr>
          <w:rFonts w:hint="eastAsia" w:eastAsia="宋体" w:cs="Times New Roman"/>
          <w:color w:val="auto"/>
        </w:rPr>
        <w:t>米，第二住院楼改造面积为:12929.68平</w:t>
      </w:r>
      <w:r>
        <w:rPr>
          <w:rFonts w:hint="eastAsia" w:eastAsia="宋体" w:cs="Times New Roman"/>
          <w:color w:val="auto"/>
          <w:lang w:val="en-US" w:eastAsia="zh-CN"/>
        </w:rPr>
        <w:t>方</w:t>
      </w:r>
      <w:r>
        <w:rPr>
          <w:rFonts w:hint="eastAsia" w:eastAsia="宋体" w:cs="Times New Roman"/>
          <w:color w:val="auto"/>
        </w:rPr>
        <w:t>米，紫荆楼住院部改造面积为:5578.84平</w:t>
      </w:r>
      <w:r>
        <w:rPr>
          <w:rFonts w:hint="eastAsia" w:eastAsia="宋体" w:cs="Times New Roman"/>
          <w:color w:val="auto"/>
          <w:lang w:val="en-US" w:eastAsia="zh-CN"/>
        </w:rPr>
        <w:t>方</w:t>
      </w:r>
      <w:r>
        <w:rPr>
          <w:rFonts w:hint="eastAsia" w:eastAsia="宋体" w:cs="Times New Roman"/>
          <w:color w:val="auto"/>
        </w:rPr>
        <w:t>米</w:t>
      </w:r>
      <w:r>
        <w:rPr>
          <w:rFonts w:hint="eastAsia" w:eastAsia="宋体" w:cs="Times New Roman"/>
          <w:color w:val="auto"/>
          <w:lang w:eastAsia="zh-CN"/>
        </w:rPr>
        <w:t>。</w:t>
      </w:r>
    </w:p>
    <w:p w14:paraId="1BE061F1">
      <w:pPr>
        <w:rPr>
          <w:rFonts w:hint="eastAsia"/>
          <w:lang w:val="en-US" w:eastAsia="zh-CN"/>
        </w:rPr>
      </w:pPr>
      <w:bookmarkStart w:id="82" w:name="_GoBack"/>
      <w:bookmarkEnd w:id="82"/>
    </w:p>
    <w:p w14:paraId="466634CA">
      <w:pPr>
        <w:keepNext w:val="0"/>
        <w:keepLines w:val="0"/>
        <w:pageBreakBefore w:val="0"/>
        <w:widowControl w:val="0"/>
        <w:numPr>
          <w:numId w:val="0"/>
        </w:numPr>
        <w:kinsoku/>
        <w:wordWrap/>
        <w:overflowPunct/>
        <w:topLinePunct w:val="0"/>
        <w:autoSpaceDE/>
        <w:autoSpaceDN/>
        <w:bidi w:val="0"/>
        <w:adjustRightInd/>
        <w:snapToGrid/>
        <w:ind w:left="420" w:left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 xml:space="preserve">  二、服务要求</w:t>
      </w:r>
    </w:p>
    <w:p w14:paraId="34F9556E">
      <w:pPr>
        <w:spacing w:line="500" w:lineRule="exact"/>
        <w:rPr>
          <w:rFonts w:hint="eastAsia"/>
          <w:color w:val="auto"/>
        </w:rPr>
      </w:pPr>
      <w:r>
        <w:rPr>
          <w:rFonts w:hint="eastAsia"/>
          <w:color w:val="auto"/>
        </w:rPr>
        <w:t>1、设计标准：需严格满足《综合医院建筑设计标准》GB51039-2014（2024 年版）、《建筑内部装修设计防火规范》GB 50222-2017、《民用建筑设计统一标准》GB50352-2019、《建筑设计防火规范》GB50016-2014 (2018 版）、《民用建筑通用规范 》GB 55031-2022、《建筑防火通用规范》GB 55037-2022、《建筑与市政工程防水通用规范》GB55030-2022、《消防设施通用规范》GB 55036-2022、《建筑环境通用规范》GB 55016-2021</w:t>
      </w:r>
      <w:r>
        <w:rPr>
          <w:rFonts w:hint="eastAsia"/>
          <w:color w:val="auto"/>
          <w:lang w:eastAsia="zh-CN"/>
        </w:rPr>
        <w:t>、</w:t>
      </w:r>
      <w:r>
        <w:rPr>
          <w:rFonts w:hint="eastAsia"/>
        </w:rPr>
        <w:t>医院病房改造提升技术指南 、医院病房改造提升行动方案2024-2028等</w:t>
      </w:r>
      <w:r>
        <w:rPr>
          <w:rFonts w:hint="eastAsia"/>
          <w:color w:val="auto"/>
        </w:rPr>
        <w:t>现行国家、行业及地方相关规范要求，同时严格服从采购人对本项目的其他专项要求。</w:t>
      </w:r>
    </w:p>
    <w:p w14:paraId="2AC54D27">
      <w:pPr>
        <w:spacing w:line="500" w:lineRule="exact"/>
        <w:rPr>
          <w:rFonts w:hint="eastAsia"/>
          <w:color w:val="auto"/>
        </w:rPr>
      </w:pPr>
      <w:r>
        <w:rPr>
          <w:rFonts w:hint="eastAsia"/>
          <w:color w:val="auto"/>
        </w:rPr>
        <w:t>2、报价要求：本项目报价为总包干价，包含完成初步设计及概算服务的所有费用（人工、设计、编制、报审、成果制作、税费等），采购人不再支付任何其他费用。</w:t>
      </w:r>
    </w:p>
    <w:p w14:paraId="2024CEA8">
      <w:pPr>
        <w:spacing w:line="500" w:lineRule="exact"/>
        <w:rPr>
          <w:rFonts w:hint="eastAsia"/>
          <w:color w:val="auto"/>
        </w:rPr>
      </w:pPr>
      <w:r>
        <w:rPr>
          <w:rFonts w:hint="eastAsia"/>
          <w:color w:val="auto"/>
        </w:rPr>
        <w:t>3、工作内容：完成本项目全部改造范围的初步设计（含方案优化、专业设计、图纸绘制等）及工程概算编制工作。</w:t>
      </w:r>
    </w:p>
    <w:p w14:paraId="2971B3D3">
      <w:pPr>
        <w:spacing w:line="500" w:lineRule="exact"/>
        <w:rPr>
          <w:rFonts w:hint="eastAsia"/>
          <w:color w:val="auto"/>
        </w:rPr>
      </w:pPr>
      <w:r>
        <w:rPr>
          <w:rFonts w:hint="eastAsia"/>
          <w:color w:val="auto"/>
        </w:rPr>
        <w:t>4、质量责任：设计方对本项目初步设计及概算成果的合法性、合规性、准确性、完整性承担终身质量责任，因设计失误造成的损失由设计方全权承担。</w:t>
      </w:r>
    </w:p>
    <w:p w14:paraId="78EF3013">
      <w:pPr>
        <w:spacing w:line="500" w:lineRule="exact"/>
        <w:rPr>
          <w:rFonts w:hint="eastAsia"/>
          <w:color w:val="auto"/>
        </w:rPr>
      </w:pPr>
      <w:r>
        <w:rPr>
          <w:rFonts w:hint="eastAsia"/>
          <w:color w:val="auto"/>
        </w:rPr>
        <w:t>5、工期要求：自合同签订之日起</w:t>
      </w:r>
      <w:r>
        <w:rPr>
          <w:rFonts w:hint="eastAsia"/>
          <w:color w:val="auto"/>
          <w:lang w:val="en-US" w:eastAsia="zh-CN"/>
        </w:rPr>
        <w:t>30</w:t>
      </w:r>
      <w:r>
        <w:rPr>
          <w:rFonts w:hint="eastAsia"/>
          <w:color w:val="auto"/>
        </w:rPr>
        <w:t>日内完成全部初步设计及概算成果编制并提交审核。</w:t>
      </w:r>
    </w:p>
    <w:p w14:paraId="6BBBE80E">
      <w:pPr>
        <w:spacing w:line="500" w:lineRule="exact"/>
        <w:rPr>
          <w:rFonts w:hint="eastAsia"/>
          <w:color w:val="auto"/>
        </w:rPr>
      </w:pPr>
      <w:r>
        <w:rPr>
          <w:rFonts w:hint="eastAsia"/>
          <w:color w:val="auto"/>
        </w:rPr>
        <w:t>6、配合要求：设计方需配合采购人完成成果报审、卫健委</w:t>
      </w:r>
      <w:r>
        <w:rPr>
          <w:rFonts w:hint="eastAsia"/>
          <w:color w:val="auto"/>
          <w:lang w:eastAsia="zh-CN"/>
        </w:rPr>
        <w:t>、</w:t>
      </w:r>
      <w:r>
        <w:rPr>
          <w:rFonts w:hint="eastAsia"/>
          <w:color w:val="auto"/>
          <w:lang w:val="en-US" w:eastAsia="zh-CN"/>
        </w:rPr>
        <w:t>住建委</w:t>
      </w:r>
      <w:r>
        <w:rPr>
          <w:rFonts w:hint="eastAsia"/>
          <w:color w:val="auto"/>
        </w:rPr>
        <w:t>等相关部门的审核修改，以及后续施工图设计的技术交底、答疑等工作，及时响应采购人的技术咨询需求。</w:t>
      </w:r>
    </w:p>
    <w:p w14:paraId="1E603773">
      <w:pPr>
        <w:spacing w:line="500" w:lineRule="exact"/>
        <w:rPr>
          <w:rFonts w:hint="eastAsia"/>
          <w:color w:val="auto"/>
        </w:rPr>
      </w:pPr>
      <w:r>
        <w:rPr>
          <w:rFonts w:hint="eastAsia"/>
          <w:color w:val="auto"/>
        </w:rPr>
        <w:t>7、成果要求：提交的设计及概算成果需符合国家初步设计编制规范，做到内容完整、数据准确、图纸规范，满足</w:t>
      </w:r>
      <w:r>
        <w:rPr>
          <w:rFonts w:hint="eastAsia"/>
          <w:color w:val="auto"/>
          <w:lang w:val="en-US" w:eastAsia="zh-CN"/>
        </w:rPr>
        <w:t>国家病房改造项目、</w:t>
      </w:r>
      <w:r>
        <w:rPr>
          <w:rFonts w:hint="eastAsia"/>
          <w:color w:val="auto"/>
        </w:rPr>
        <w:t>国债资金申报材料要求。</w:t>
      </w:r>
    </w:p>
    <w:p w14:paraId="1D80DF1E">
      <w:pPr>
        <w:pStyle w:val="10"/>
        <w:rPr>
          <w:rFonts w:hint="eastAsia"/>
          <w:color w:val="auto"/>
        </w:rPr>
      </w:pPr>
      <w:r>
        <w:rPr>
          <w:rFonts w:hint="eastAsia"/>
          <w:color w:val="auto"/>
        </w:rPr>
        <w:t>8、保密要求：设计方需对项目所有设计资料、数据及采购人提供的相关信息承担保密责任，未经采购人书面同意，不得向第三方泄露，保密责任长期有效。</w:t>
      </w:r>
    </w:p>
    <w:p w14:paraId="39FA303E">
      <w:pPr>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6ED03E0">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p>
    <w:p w14:paraId="5FF9CE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lang w:eastAsia="zh-CN"/>
        </w:rPr>
        <w:t>、</w:t>
      </w:r>
      <w:r>
        <w:rPr>
          <w:rFonts w:hint="eastAsia"/>
        </w:rPr>
        <w:t>本项目采用总价包干，报价包含完成本项目的所有费用，采购人不再支付其他任何费用。</w:t>
      </w:r>
    </w:p>
    <w:p w14:paraId="13A770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lang w:eastAsia="zh-CN"/>
        </w:rPr>
        <w:t>、</w:t>
      </w:r>
      <w:r>
        <w:rPr>
          <w:rFonts w:hint="eastAsia"/>
        </w:rPr>
        <w:t>工期要求：合同签订之日起，</w:t>
      </w:r>
      <w:r>
        <w:rPr>
          <w:rFonts w:hint="eastAsia"/>
          <w:lang w:val="en-US" w:eastAsia="zh-CN"/>
        </w:rPr>
        <w:t>30</w:t>
      </w:r>
      <w:r>
        <w:rPr>
          <w:rFonts w:hint="eastAsia"/>
        </w:rPr>
        <w:t>日内完成全部初步设计及概算成果编制并提交审核。</w:t>
      </w:r>
    </w:p>
    <w:p w14:paraId="33564C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w:t>
      </w:r>
      <w:r>
        <w:rPr>
          <w:rFonts w:hint="eastAsia"/>
          <w:lang w:eastAsia="zh-CN"/>
        </w:rPr>
        <w:t>、</w:t>
      </w:r>
      <w:r>
        <w:rPr>
          <w:rFonts w:hint="eastAsia"/>
        </w:rPr>
        <w:t>付款方式：在完成初设成果</w:t>
      </w:r>
      <w:r>
        <w:rPr>
          <w:rFonts w:hint="eastAsia"/>
          <w:lang w:eastAsia="zh-CN"/>
        </w:rPr>
        <w:t>，</w:t>
      </w:r>
      <w:r>
        <w:rPr>
          <w:rFonts w:hint="eastAsia"/>
        </w:rPr>
        <w:t>提交</w:t>
      </w:r>
      <w:r>
        <w:rPr>
          <w:rFonts w:hint="eastAsia"/>
          <w:lang w:val="en-US" w:eastAsia="zh-CN"/>
        </w:rPr>
        <w:t>行政主管部门审批</w:t>
      </w:r>
      <w:r>
        <w:rPr>
          <w:rFonts w:hint="eastAsia"/>
        </w:rPr>
        <w:t>通过</w:t>
      </w:r>
      <w:r>
        <w:rPr>
          <w:rFonts w:hint="eastAsia"/>
          <w:lang w:eastAsia="zh-CN"/>
        </w:rPr>
        <w:t>，</w:t>
      </w:r>
      <w:r>
        <w:rPr>
          <w:rFonts w:hint="eastAsia"/>
          <w:lang w:val="en-US" w:eastAsia="zh-CN"/>
        </w:rPr>
        <w:t>并取得相关批复后</w:t>
      </w:r>
      <w:r>
        <w:rPr>
          <w:rFonts w:hint="eastAsia"/>
        </w:rPr>
        <w:t>，</w:t>
      </w:r>
      <w:r>
        <w:rPr>
          <w:rFonts w:hint="eastAsia"/>
          <w:lang w:val="en-US" w:eastAsia="zh-CN"/>
        </w:rPr>
        <w:t>设计方</w:t>
      </w:r>
      <w:r>
        <w:rPr>
          <w:rFonts w:hint="eastAsia"/>
        </w:rPr>
        <w:t>开具全额合法有效发票，</w:t>
      </w:r>
      <w:r>
        <w:rPr>
          <w:rFonts w:hint="eastAsia"/>
          <w:lang w:val="en-US" w:eastAsia="zh-CN"/>
        </w:rPr>
        <w:t>采购人</w:t>
      </w:r>
      <w:r>
        <w:rPr>
          <w:rFonts w:hint="eastAsia"/>
        </w:rPr>
        <w:t>在 15 个工作日内一次性支付合同全款。</w:t>
      </w:r>
    </w:p>
    <w:p w14:paraId="54E75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w:t>
      </w:r>
      <w:r>
        <w:rPr>
          <w:rFonts w:hint="eastAsia"/>
          <w:lang w:eastAsia="zh-CN"/>
        </w:rPr>
        <w:t>、</w:t>
      </w:r>
      <w:r>
        <w:rPr>
          <w:rFonts w:hint="eastAsia"/>
        </w:rPr>
        <w:t>成果内容：符合国债资金申报要求的初步设计方案文本（包括分析图、效果图、平面图、专业设计图纸等）、工程概算编制文本，所有成果需达到国家初步设计编制深度要求。</w:t>
      </w:r>
    </w:p>
    <w:p w14:paraId="1041D5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w:t>
      </w:r>
      <w:r>
        <w:rPr>
          <w:rFonts w:hint="eastAsia"/>
          <w:lang w:eastAsia="zh-CN"/>
        </w:rPr>
        <w:t>、</w:t>
      </w:r>
      <w:r>
        <w:rPr>
          <w:rFonts w:hint="eastAsia"/>
        </w:rPr>
        <w:t>成果份数：盖章版纸质成果文本 4 套（含设计文本、概算文本），同时提供可编辑的电子版成果（U 盘或光盘形式，含 CAD 图纸、PDF 文档、概算表格等）。</w:t>
      </w:r>
    </w:p>
    <w:p w14:paraId="2FC5FB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w:t>
      </w:r>
      <w:r>
        <w:rPr>
          <w:rFonts w:hint="eastAsia"/>
          <w:lang w:eastAsia="zh-CN"/>
        </w:rPr>
        <w:t>、</w:t>
      </w:r>
      <w:r>
        <w:rPr>
          <w:rFonts w:hint="eastAsia"/>
        </w:rPr>
        <w:t>验收标准：以国家现行设计规范、采购文件要求及国债资金申报材料标准为依据，验收合格的标准为成果内容完整、数据准确、图纸规范，能顺利通过相关部门审核。</w:t>
      </w:r>
    </w:p>
    <w:p w14:paraId="11B1FBD7">
      <w:pPr>
        <w:rPr>
          <w:rFonts w:hint="eastAsia"/>
        </w:rPr>
      </w:pPr>
      <w:r>
        <w:rPr>
          <w:rFonts w:hint="eastAsia"/>
        </w:rPr>
        <w:t>7</w:t>
      </w:r>
      <w:r>
        <w:rPr>
          <w:rFonts w:hint="eastAsia"/>
          <w:lang w:eastAsia="zh-CN"/>
        </w:rPr>
        <w:t>、</w:t>
      </w:r>
      <w:r>
        <w:rPr>
          <w:rFonts w:hint="eastAsia"/>
        </w:rPr>
        <w:t>保密要求：</w:t>
      </w:r>
      <w:r>
        <w:rPr>
          <w:rFonts w:hint="eastAsia"/>
          <w:lang w:eastAsia="zh-CN"/>
        </w:rPr>
        <w:t>设计方</w:t>
      </w:r>
      <w:r>
        <w:rPr>
          <w:rFonts w:hint="eastAsia"/>
        </w:rPr>
        <w:t>需对本项目所有资料承担保密责任，</w:t>
      </w:r>
      <w:r>
        <w:rPr>
          <w:rFonts w:hint="eastAsia"/>
          <w:lang w:val="en-US" w:eastAsia="zh-CN"/>
        </w:rPr>
        <w:t>未经采购人</w:t>
      </w:r>
      <w:r>
        <w:rPr>
          <w:rFonts w:hint="eastAsia"/>
        </w:rPr>
        <w:t>书面同意不得向第三方泄露，否则</w:t>
      </w:r>
      <w:r>
        <w:rPr>
          <w:rFonts w:hint="eastAsia"/>
          <w:lang w:val="en-US" w:eastAsia="zh-CN"/>
        </w:rPr>
        <w:t>采购人</w:t>
      </w:r>
      <w:r>
        <w:rPr>
          <w:rFonts w:hint="eastAsia"/>
        </w:rPr>
        <w:t>有权解除合同并要求</w:t>
      </w:r>
      <w:r>
        <w:rPr>
          <w:rFonts w:hint="eastAsia"/>
          <w:lang w:eastAsia="zh-CN"/>
        </w:rPr>
        <w:t>设计方</w:t>
      </w:r>
      <w:r>
        <w:rPr>
          <w:rFonts w:hint="eastAsia"/>
        </w:rPr>
        <w:t>承担赔偿责任。</w:t>
      </w:r>
    </w:p>
    <w:p w14:paraId="7CEDBA0C">
      <w:pPr>
        <w:rPr>
          <w:rFonts w:hint="eastAsia"/>
          <w:lang w:val="en-US" w:eastAsia="zh-CN"/>
        </w:rPr>
      </w:pPr>
    </w:p>
    <w:p w14:paraId="20B00812">
      <w:pPr>
        <w:pStyle w:val="20"/>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0"/>
        <w:ind w:firstLine="420" w:firstLineChars="200"/>
      </w:pPr>
      <w:r>
        <w:br w:type="page"/>
      </w:r>
    </w:p>
    <w:p w14:paraId="70A0421E">
      <w:pPr>
        <w:pStyle w:val="2"/>
        <w:numPr>
          <w:ilvl w:val="0"/>
          <w:numId w:val="19"/>
        </w:numPr>
        <w:ind w:left="402"/>
        <w:rPr>
          <w:rFonts w:hint="eastAsia"/>
        </w:rPr>
      </w:pPr>
      <w:r>
        <w:rPr>
          <w:rFonts w:hint="eastAsia"/>
        </w:rPr>
        <w:t>评分细则</w:t>
      </w:r>
    </w:p>
    <w:p w14:paraId="4451610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评分细则详细内容：本项目采用综合评分法进行评审，总分100分，其中价格部分 20 分，技术要求40分，履约保障30分，业绩6分，售后服务4分。评分遵循“低价优先法”计算价格分，技术及商务部分按量化标准打分，所有评分项需提供有效证明材料，未提供的按0分计。</w:t>
      </w:r>
    </w:p>
    <w:tbl>
      <w:tblPr>
        <w:tblStyle w:val="22"/>
        <w:tblW w:w="4881" w:type="pct"/>
        <w:tblInd w:w="0" w:type="dxa"/>
        <w:tblLayout w:type="fixed"/>
        <w:tblCellMar>
          <w:top w:w="0" w:type="dxa"/>
          <w:left w:w="108" w:type="dxa"/>
          <w:bottom w:w="0" w:type="dxa"/>
          <w:right w:w="108" w:type="dxa"/>
        </w:tblCellMar>
      </w:tblPr>
      <w:tblGrid>
        <w:gridCol w:w="760"/>
        <w:gridCol w:w="1007"/>
        <w:gridCol w:w="1059"/>
        <w:gridCol w:w="6792"/>
      </w:tblGrid>
      <w:tr w14:paraId="18962F5E">
        <w:tblPrEx>
          <w:tblCellMar>
            <w:top w:w="0" w:type="dxa"/>
            <w:left w:w="108" w:type="dxa"/>
            <w:bottom w:w="0" w:type="dxa"/>
            <w:right w:w="108" w:type="dxa"/>
          </w:tblCellMar>
        </w:tblPrEx>
        <w:trPr>
          <w:trHeight w:val="503"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5E758E0">
            <w:pPr>
              <w:pStyle w:val="55"/>
              <w:spacing w:line="36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序号</w:t>
            </w:r>
          </w:p>
        </w:tc>
        <w:tc>
          <w:tcPr>
            <w:tcW w:w="1007" w:type="dxa"/>
            <w:tcBorders>
              <w:top w:val="single" w:color="auto" w:sz="4" w:space="0"/>
              <w:left w:val="nil"/>
              <w:bottom w:val="single" w:color="auto" w:sz="4" w:space="0"/>
              <w:right w:val="single" w:color="auto" w:sz="4" w:space="0"/>
            </w:tcBorders>
            <w:shd w:val="clear" w:color="auto" w:fill="auto"/>
            <w:vAlign w:val="center"/>
          </w:tcPr>
          <w:p w14:paraId="52E9AEAA">
            <w:pPr>
              <w:pStyle w:val="55"/>
              <w:spacing w:line="36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评分因素</w:t>
            </w:r>
          </w:p>
        </w:tc>
        <w:tc>
          <w:tcPr>
            <w:tcW w:w="1059" w:type="dxa"/>
            <w:tcBorders>
              <w:top w:val="single" w:color="auto" w:sz="4" w:space="0"/>
              <w:left w:val="nil"/>
              <w:bottom w:val="single" w:color="auto" w:sz="4" w:space="0"/>
              <w:right w:val="single" w:color="auto" w:sz="4" w:space="0"/>
            </w:tcBorders>
            <w:shd w:val="clear" w:color="auto" w:fill="auto"/>
            <w:vAlign w:val="center"/>
          </w:tcPr>
          <w:p w14:paraId="5FF92137">
            <w:pPr>
              <w:pStyle w:val="55"/>
              <w:spacing w:line="36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分值</w:t>
            </w:r>
          </w:p>
        </w:tc>
        <w:tc>
          <w:tcPr>
            <w:tcW w:w="6792" w:type="dxa"/>
            <w:tcBorders>
              <w:top w:val="single" w:color="auto" w:sz="4" w:space="0"/>
              <w:left w:val="nil"/>
              <w:bottom w:val="single" w:color="auto" w:sz="4" w:space="0"/>
              <w:right w:val="single" w:color="auto" w:sz="4" w:space="0"/>
            </w:tcBorders>
            <w:shd w:val="clear" w:color="auto" w:fill="auto"/>
            <w:vAlign w:val="center"/>
          </w:tcPr>
          <w:p w14:paraId="556BA42E">
            <w:pPr>
              <w:pStyle w:val="55"/>
              <w:spacing w:line="36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评分标准</w:t>
            </w:r>
          </w:p>
        </w:tc>
      </w:tr>
      <w:tr w14:paraId="7AFCDBE6">
        <w:tblPrEx>
          <w:tblCellMar>
            <w:top w:w="0" w:type="dxa"/>
            <w:left w:w="108" w:type="dxa"/>
            <w:bottom w:w="0" w:type="dxa"/>
            <w:right w:w="108" w:type="dxa"/>
          </w:tblCellMar>
        </w:tblPrEx>
        <w:trPr>
          <w:trHeight w:val="949"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22F3CAC6">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1</w:t>
            </w:r>
          </w:p>
        </w:tc>
        <w:tc>
          <w:tcPr>
            <w:tcW w:w="1007" w:type="dxa"/>
            <w:tcBorders>
              <w:top w:val="nil"/>
              <w:left w:val="nil"/>
              <w:bottom w:val="single" w:color="auto" w:sz="4" w:space="0"/>
              <w:right w:val="single" w:color="auto" w:sz="4" w:space="0"/>
            </w:tcBorders>
            <w:shd w:val="clear" w:color="auto" w:fill="auto"/>
            <w:vAlign w:val="center"/>
          </w:tcPr>
          <w:p w14:paraId="60387A58">
            <w:pPr>
              <w:pStyle w:val="55"/>
              <w:spacing w:line="240" w:lineRule="auto"/>
              <w:jc w:val="left"/>
              <w:rPr>
                <w:rFonts w:hint="eastAsia" w:ascii="宋体" w:hAnsi="宋体" w:eastAsia="宋体" w:cs="宋体"/>
                <w:kern w:val="2"/>
                <w:sz w:val="18"/>
                <w:szCs w:val="18"/>
                <w:lang w:val="en-US" w:eastAsia="zh-Hans" w:bidi="ar-SA"/>
              </w:rPr>
            </w:pPr>
            <w:r>
              <w:rPr>
                <w:rFonts w:hint="eastAsia" w:ascii="宋体" w:hAnsi="宋体" w:eastAsia="宋体" w:cs="宋体"/>
                <w:kern w:val="2"/>
                <w:sz w:val="18"/>
                <w:szCs w:val="18"/>
                <w:lang w:val="en-US" w:eastAsia="zh-CN" w:bidi="ar-SA"/>
              </w:rPr>
              <w:t>价格部分</w:t>
            </w:r>
          </w:p>
        </w:tc>
        <w:tc>
          <w:tcPr>
            <w:tcW w:w="1059" w:type="dxa"/>
            <w:tcBorders>
              <w:top w:val="nil"/>
              <w:left w:val="nil"/>
              <w:bottom w:val="single" w:color="auto" w:sz="4" w:space="0"/>
              <w:right w:val="single" w:color="auto" w:sz="4" w:space="0"/>
            </w:tcBorders>
            <w:shd w:val="clear" w:color="auto" w:fill="auto"/>
            <w:vAlign w:val="center"/>
          </w:tcPr>
          <w:p w14:paraId="5831F7C7">
            <w:pPr>
              <w:pStyle w:val="55"/>
              <w:spacing w:line="240" w:lineRule="auto"/>
              <w:jc w:val="left"/>
              <w:rPr>
                <w:rFonts w:hint="eastAsia" w:ascii="宋体" w:hAnsi="宋体" w:eastAsia="宋体" w:cs="宋体"/>
                <w:kern w:val="2"/>
                <w:sz w:val="18"/>
                <w:szCs w:val="18"/>
                <w:lang w:val="en-US" w:eastAsia="zh-Hans" w:bidi="ar-SA"/>
              </w:rPr>
            </w:pPr>
            <w:r>
              <w:rPr>
                <w:rFonts w:hint="eastAsia" w:ascii="宋体" w:hAnsi="宋体" w:eastAsia="宋体" w:cs="宋体"/>
                <w:kern w:val="2"/>
                <w:sz w:val="18"/>
                <w:szCs w:val="18"/>
                <w:lang w:val="en-US" w:eastAsia="zh-CN" w:bidi="ar-SA"/>
              </w:rPr>
              <w:t>（20 分）</w:t>
            </w:r>
          </w:p>
        </w:tc>
        <w:tc>
          <w:tcPr>
            <w:tcW w:w="6792" w:type="dxa"/>
            <w:tcBorders>
              <w:top w:val="nil"/>
              <w:left w:val="nil"/>
              <w:bottom w:val="single" w:color="auto" w:sz="4" w:space="0"/>
              <w:right w:val="single" w:color="auto" w:sz="4" w:space="0"/>
            </w:tcBorders>
            <w:shd w:val="clear" w:color="auto" w:fill="auto"/>
            <w:vAlign w:val="center"/>
          </w:tcPr>
          <w:p w14:paraId="12F25DD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lang w:eastAsia="zh-Hans"/>
              </w:rPr>
            </w:pPr>
            <w:r>
              <w:rPr>
                <w:rFonts w:hint="eastAsia" w:ascii="宋体" w:hAnsi="宋体" w:eastAsia="宋体" w:cs="宋体"/>
                <w:sz w:val="18"/>
                <w:szCs w:val="18"/>
                <w:lang w:val="en-US" w:eastAsia="zh-CN" w:bidi="ar-SA"/>
              </w:rPr>
              <w:t>满足采购文件实质性要求且最后报价最低的供应商的价格为基准价，其价格分为满分 20 分。其他供应商的价格分计算公式：价格分 =(基准价 / 最后报价)×20×100%，分值保留两位小数。</w:t>
            </w:r>
          </w:p>
        </w:tc>
      </w:tr>
      <w:tr w14:paraId="637CB22E">
        <w:tblPrEx>
          <w:tblCellMar>
            <w:top w:w="0" w:type="dxa"/>
            <w:left w:w="108" w:type="dxa"/>
            <w:bottom w:w="0" w:type="dxa"/>
            <w:right w:w="108" w:type="dxa"/>
          </w:tblCellMar>
        </w:tblPrEx>
        <w:trPr>
          <w:trHeight w:val="5844"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478893E">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2</w:t>
            </w:r>
          </w:p>
        </w:tc>
        <w:tc>
          <w:tcPr>
            <w:tcW w:w="1007" w:type="dxa"/>
            <w:tcBorders>
              <w:top w:val="nil"/>
              <w:left w:val="nil"/>
              <w:bottom w:val="single" w:color="auto" w:sz="4" w:space="0"/>
              <w:right w:val="single" w:color="auto" w:sz="4" w:space="0"/>
            </w:tcBorders>
            <w:shd w:val="clear" w:color="auto" w:fill="auto"/>
            <w:noWrap/>
            <w:vAlign w:val="center"/>
          </w:tcPr>
          <w:p w14:paraId="0B14F1E4">
            <w:pPr>
              <w:pStyle w:val="55"/>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技术要求</w:t>
            </w:r>
          </w:p>
        </w:tc>
        <w:tc>
          <w:tcPr>
            <w:tcW w:w="1059" w:type="dxa"/>
            <w:tcBorders>
              <w:top w:val="nil"/>
              <w:left w:val="nil"/>
              <w:bottom w:val="single" w:color="auto" w:sz="4" w:space="0"/>
              <w:right w:val="single" w:color="auto" w:sz="4" w:space="0"/>
            </w:tcBorders>
            <w:shd w:val="clear" w:color="auto" w:fill="auto"/>
            <w:noWrap/>
            <w:vAlign w:val="center"/>
          </w:tcPr>
          <w:p w14:paraId="67FFBF4A">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b w:val="0"/>
                <w:bCs w:val="0"/>
                <w:color w:val="auto"/>
                <w:sz w:val="18"/>
                <w:szCs w:val="18"/>
                <w:lang w:val="en-US" w:eastAsia="zh-CN"/>
              </w:rPr>
              <w:t>（40 分）</w:t>
            </w:r>
          </w:p>
        </w:tc>
        <w:tc>
          <w:tcPr>
            <w:tcW w:w="6792" w:type="dxa"/>
            <w:tcBorders>
              <w:top w:val="nil"/>
              <w:left w:val="nil"/>
              <w:bottom w:val="single" w:color="auto" w:sz="4" w:space="0"/>
              <w:right w:val="single" w:color="auto" w:sz="4" w:space="0"/>
            </w:tcBorders>
            <w:shd w:val="clear" w:color="auto" w:fill="auto"/>
            <w:vAlign w:val="center"/>
          </w:tcPr>
          <w:p w14:paraId="7672296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1、设计方案与依据（10 分）：设计方案具有针对性、符合项目特征，设计依据引用规范最新且完整，针对性强的得 8-10 分；基本贴合项目需求，依据引用基本完整的得 4-7 分；设计方案与项目需求偏差较大，依据引用不完整的得 0-3 分。</w:t>
            </w:r>
          </w:p>
          <w:p w14:paraId="77A5037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2、设计构思与思路（8 分）：设计构思符合综合医院功能布局、医疗工艺要求，思路清晰、科学合理的得 6-8 分；设计构思基本符合医院设计要求，思路较清晰的得 3-5 分；设计构思不符合项目特征，思路混乱的得 0-2 分。</w:t>
            </w:r>
          </w:p>
          <w:p w14:paraId="43E62D5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3、工作安排与保障（8 分）：设计工作进度安排贴合 35 天工期要求，进度保障、安全文明设计及环境保护措施完善可行的得 6-8 分；进度安排基本满足工期，保障措施较完善的得 3-5 分；进度安排无法满足工期要求，保障措施缺失的得 0-2 分。</w:t>
            </w:r>
          </w:p>
          <w:p w14:paraId="14A2BD3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4、重难点分析与解决（7 分）：对本项目改造中的空间利用、医疗工艺整合、消防规范适配等重难点分析精准，解决措施切实可行的得 5-7 分；重难点分析基本准确，解决措施较可行的得 2-4 分；重难点分析偏差大，无有效解决措施的得 0-1 分。</w:t>
            </w:r>
          </w:p>
          <w:p w14:paraId="407E021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5、保密与质量保障（7 分）：制定的设计质量管控流程完善，保密保障措施具体、责任明确的得 5-7 分；质量管控流程较完善，有基本保密措施的得 2-4 分；无质量管控流程及保密措施的得 0-1 分。</w:t>
            </w:r>
          </w:p>
          <w:p w14:paraId="7BC838F4">
            <w:pPr>
              <w:pStyle w:val="55"/>
              <w:spacing w:line="240" w:lineRule="auto"/>
              <w:jc w:val="left"/>
              <w:rPr>
                <w:rFonts w:hint="eastAsia" w:ascii="宋体" w:hAnsi="宋体" w:eastAsia="宋体" w:cs="宋体"/>
                <w:sz w:val="18"/>
                <w:szCs w:val="18"/>
                <w:lang w:eastAsia="zh-Hans"/>
              </w:rPr>
            </w:pPr>
          </w:p>
        </w:tc>
      </w:tr>
      <w:tr w14:paraId="06A6DB84">
        <w:tblPrEx>
          <w:tblCellMar>
            <w:top w:w="0" w:type="dxa"/>
            <w:left w:w="108" w:type="dxa"/>
            <w:bottom w:w="0" w:type="dxa"/>
            <w:right w:w="108" w:type="dxa"/>
          </w:tblCellMar>
        </w:tblPrEx>
        <w:trPr>
          <w:trHeight w:val="1781"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0517855">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sz w:val="18"/>
                <w:szCs w:val="18"/>
                <w:lang w:eastAsia="zh-Hans"/>
              </w:rPr>
              <w:t>3</w:t>
            </w:r>
          </w:p>
        </w:tc>
        <w:tc>
          <w:tcPr>
            <w:tcW w:w="1007" w:type="dxa"/>
            <w:tcBorders>
              <w:top w:val="nil"/>
              <w:left w:val="nil"/>
              <w:bottom w:val="single" w:color="auto" w:sz="4" w:space="0"/>
              <w:right w:val="single" w:color="auto" w:sz="4" w:space="0"/>
            </w:tcBorders>
            <w:shd w:val="clear" w:color="auto" w:fill="auto"/>
            <w:noWrap/>
            <w:vAlign w:val="center"/>
          </w:tcPr>
          <w:p w14:paraId="14761C7D">
            <w:pPr>
              <w:pStyle w:val="55"/>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履约保障</w:t>
            </w:r>
          </w:p>
        </w:tc>
        <w:tc>
          <w:tcPr>
            <w:tcW w:w="1059" w:type="dxa"/>
            <w:tcBorders>
              <w:top w:val="nil"/>
              <w:left w:val="nil"/>
              <w:bottom w:val="single" w:color="auto" w:sz="4" w:space="0"/>
              <w:right w:val="single" w:color="auto" w:sz="4" w:space="0"/>
            </w:tcBorders>
            <w:shd w:val="clear" w:color="auto" w:fill="auto"/>
            <w:noWrap/>
            <w:vAlign w:val="center"/>
          </w:tcPr>
          <w:p w14:paraId="3E0B0A2B">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b w:val="0"/>
                <w:bCs w:val="0"/>
                <w:color w:val="auto"/>
                <w:sz w:val="18"/>
                <w:szCs w:val="18"/>
                <w:lang w:val="en-US" w:eastAsia="zh-CN"/>
              </w:rPr>
              <w:t>（30 分）</w:t>
            </w:r>
          </w:p>
        </w:tc>
        <w:tc>
          <w:tcPr>
            <w:tcW w:w="6792" w:type="dxa"/>
            <w:tcBorders>
              <w:top w:val="nil"/>
              <w:left w:val="nil"/>
              <w:bottom w:val="single" w:color="auto" w:sz="4" w:space="0"/>
              <w:right w:val="single" w:color="auto" w:sz="4" w:space="0"/>
            </w:tcBorders>
            <w:shd w:val="clear" w:color="auto" w:fill="auto"/>
            <w:vAlign w:val="top"/>
          </w:tcPr>
          <w:p w14:paraId="06D0020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本项评审需提供相关人员的注册证书、职称证书、社保缴纳证明等有效材料，证书专业与岗位要求一致。</w:t>
            </w:r>
          </w:p>
          <w:p w14:paraId="0707A59A">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1、项目负责人：具有一级注册建筑师资格得2分，同时具有建筑设计相关专业高级及以上职称加1分，本项最高得3分。</w:t>
            </w:r>
          </w:p>
          <w:p w14:paraId="40A85CD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2、建筑专业负责人：具有一级注册建筑师资格得2分，同时具有建筑设计相关专业高级及以上职称加1分，本项最高得3分。</w:t>
            </w:r>
          </w:p>
          <w:p w14:paraId="308CC3A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3、结构专业负责人：具有一级注册结构工程师资格得2分，同时具有结构设计相关专业高级及以上职称加1分，本项最高得3分。</w:t>
            </w:r>
          </w:p>
          <w:p w14:paraId="5402A5B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4、给排水专业负责人：具有注册公用设备工程师（给水排水）资格得2分，同时具有给排水设计相关专业高级及以上职称加1分，本项最高得3分。</w:t>
            </w:r>
          </w:p>
          <w:p w14:paraId="4F96A4E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5、暖通专业负责人：具有注册公用设备工程师（暖通空调）资格得2分，同时具有暖通设计相关专业高级及以上职称加1分，本项最高得3分。</w:t>
            </w:r>
          </w:p>
          <w:p w14:paraId="02A8ED7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6、电气专业负责人：具有注册电气工程师（供配电）资格得2分，同时具有电气设计相关专业高级及以上职称加1分，本项最高得3分。</w:t>
            </w:r>
          </w:p>
          <w:p w14:paraId="18B6707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7、医用气体专业负责人：具有注册公用设备工程师（动力）资格得2分，同时具有气动设计相关专业高级及以上职称加1分，本项最高得3分。</w:t>
            </w:r>
          </w:p>
          <w:p w14:paraId="07FC67D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8、智能化专业负责人：具有注册电气工程师（供配电）资格得2分，同时具有建筑电气与智能化工程相关专业高级及以上职称加1分，本项最高得3分。</w:t>
            </w:r>
          </w:p>
          <w:p w14:paraId="3943942A">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9、工程造价专业负责人：具有全国或一级注册造价工程师（安装工程）资格得2分，同时具有工程造价相关专业高级及以上职称加1分，本项最高得3分。</w:t>
            </w:r>
          </w:p>
          <w:p w14:paraId="4781792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10、团队配置（2 分）：除上述负责人外，配备的设计团队中每增加1名相关专业高级及以上职称的设计人员得1分，本项最高得3分。</w:t>
            </w:r>
          </w:p>
          <w:p w14:paraId="7EC9BD2C">
            <w:pPr>
              <w:pStyle w:val="55"/>
              <w:spacing w:line="240" w:lineRule="auto"/>
              <w:jc w:val="left"/>
              <w:rPr>
                <w:rFonts w:hint="eastAsia" w:ascii="宋体" w:hAnsi="宋体" w:eastAsia="宋体" w:cs="宋体"/>
                <w:sz w:val="18"/>
                <w:szCs w:val="18"/>
                <w:lang w:eastAsia="zh-Hans"/>
              </w:rPr>
            </w:pPr>
          </w:p>
        </w:tc>
      </w:tr>
      <w:tr w14:paraId="79794B1A">
        <w:tblPrEx>
          <w:tblCellMar>
            <w:top w:w="0" w:type="dxa"/>
            <w:left w:w="108" w:type="dxa"/>
            <w:bottom w:w="0" w:type="dxa"/>
            <w:right w:w="108" w:type="dxa"/>
          </w:tblCellMar>
        </w:tblPrEx>
        <w:trPr>
          <w:trHeight w:val="2283"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77FE2">
            <w:pPr>
              <w:pStyle w:val="55"/>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06E1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业绩</w:t>
            </w:r>
          </w:p>
          <w:p w14:paraId="1C99030C">
            <w:pPr>
              <w:pStyle w:val="55"/>
              <w:spacing w:line="240" w:lineRule="auto"/>
              <w:jc w:val="left"/>
              <w:rPr>
                <w:rFonts w:hint="eastAsia" w:ascii="宋体" w:hAnsi="宋体" w:eastAsia="宋体" w:cs="宋体"/>
                <w:sz w:val="18"/>
                <w:szCs w:val="18"/>
                <w:lang w:eastAsia="zh-Hans"/>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83D2B">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b w:val="0"/>
                <w:bCs w:val="0"/>
                <w:color w:val="auto"/>
                <w:sz w:val="18"/>
                <w:szCs w:val="18"/>
                <w:lang w:val="en-US" w:eastAsia="zh-CN"/>
              </w:rPr>
              <w:t>（6分）</w:t>
            </w:r>
          </w:p>
        </w:tc>
        <w:tc>
          <w:tcPr>
            <w:tcW w:w="6792" w:type="dxa"/>
            <w:tcBorders>
              <w:top w:val="single" w:color="auto" w:sz="4" w:space="0"/>
              <w:left w:val="single" w:color="auto" w:sz="4" w:space="0"/>
              <w:bottom w:val="single" w:color="auto" w:sz="4" w:space="0"/>
              <w:right w:val="single" w:color="auto" w:sz="4" w:space="0"/>
            </w:tcBorders>
            <w:shd w:val="clear" w:color="auto" w:fill="auto"/>
            <w:vAlign w:val="top"/>
          </w:tcPr>
          <w:p w14:paraId="21896DB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供应商 2023 年 1 月 1 日至今每具有1个已完成或正在进行的单个合同项目总投资不低于20000万元的公共建筑（含医疗工艺类）设计业绩得2分，本项最高得6分。</w:t>
            </w:r>
          </w:p>
          <w:p w14:paraId="304BA4C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注：正在进行的项目需提供中标通知书、合同协议书，业绩时间以中标通知书或合同协议书时间为准；已完成的项目需提供中标通知书或合同协议书、发包人出具的完成证明，业绩时间以发包人出具的完成证明中成果提交时间为准；合同协议书需体现项目投资金额、设计内容等关键信息。</w:t>
            </w:r>
          </w:p>
          <w:p w14:paraId="687AB745">
            <w:pPr>
              <w:pStyle w:val="55"/>
              <w:spacing w:line="240" w:lineRule="auto"/>
              <w:jc w:val="left"/>
              <w:rPr>
                <w:rFonts w:hint="eastAsia" w:ascii="宋体" w:hAnsi="宋体" w:eastAsia="宋体" w:cs="宋体"/>
                <w:sz w:val="18"/>
                <w:szCs w:val="18"/>
                <w:lang w:eastAsia="zh-Hans"/>
              </w:rPr>
            </w:pPr>
          </w:p>
        </w:tc>
      </w:tr>
      <w:tr w14:paraId="3CBBBD81">
        <w:tblPrEx>
          <w:tblCellMar>
            <w:top w:w="0" w:type="dxa"/>
            <w:left w:w="108" w:type="dxa"/>
            <w:bottom w:w="0" w:type="dxa"/>
            <w:right w:w="108" w:type="dxa"/>
          </w:tblCellMar>
        </w:tblPrEx>
        <w:trPr>
          <w:trHeight w:val="2004"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EBB7B">
            <w:pPr>
              <w:pStyle w:val="55"/>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007" w:type="dxa"/>
            <w:tcBorders>
              <w:top w:val="single" w:color="auto" w:sz="4" w:space="0"/>
              <w:left w:val="nil"/>
              <w:bottom w:val="single" w:color="auto" w:sz="4" w:space="0"/>
              <w:right w:val="single" w:color="auto" w:sz="4" w:space="0"/>
            </w:tcBorders>
            <w:shd w:val="clear" w:color="auto" w:fill="auto"/>
            <w:noWrap/>
            <w:vAlign w:val="center"/>
          </w:tcPr>
          <w:p w14:paraId="7F9FEC1F">
            <w:pPr>
              <w:pStyle w:val="55"/>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售后服务</w:t>
            </w:r>
          </w:p>
        </w:tc>
        <w:tc>
          <w:tcPr>
            <w:tcW w:w="1059" w:type="dxa"/>
            <w:tcBorders>
              <w:top w:val="single" w:color="auto" w:sz="4" w:space="0"/>
              <w:left w:val="nil"/>
              <w:bottom w:val="single" w:color="auto" w:sz="4" w:space="0"/>
              <w:right w:val="single" w:color="auto" w:sz="4" w:space="0"/>
            </w:tcBorders>
            <w:shd w:val="clear" w:color="auto" w:fill="auto"/>
            <w:noWrap/>
            <w:vAlign w:val="center"/>
          </w:tcPr>
          <w:p w14:paraId="1DC48BAB">
            <w:pPr>
              <w:pStyle w:val="55"/>
              <w:spacing w:line="240" w:lineRule="auto"/>
              <w:jc w:val="left"/>
              <w:rPr>
                <w:rFonts w:hint="eastAsia" w:ascii="宋体" w:hAnsi="宋体" w:eastAsia="宋体" w:cs="宋体"/>
                <w:sz w:val="18"/>
                <w:szCs w:val="18"/>
                <w:lang w:eastAsia="zh-Hans"/>
              </w:rPr>
            </w:pPr>
            <w:r>
              <w:rPr>
                <w:rFonts w:hint="eastAsia" w:ascii="宋体" w:hAnsi="宋体" w:eastAsia="宋体" w:cs="宋体"/>
                <w:b w:val="0"/>
                <w:bCs w:val="0"/>
                <w:color w:val="auto"/>
                <w:sz w:val="18"/>
                <w:szCs w:val="18"/>
                <w:lang w:val="en-US" w:eastAsia="zh-CN"/>
              </w:rPr>
              <w:t>（4分）</w:t>
            </w:r>
          </w:p>
        </w:tc>
        <w:tc>
          <w:tcPr>
            <w:tcW w:w="6792" w:type="dxa"/>
            <w:tcBorders>
              <w:top w:val="single" w:color="auto" w:sz="4" w:space="0"/>
              <w:left w:val="nil"/>
              <w:bottom w:val="single" w:color="auto" w:sz="4" w:space="0"/>
              <w:right w:val="single" w:color="auto" w:sz="4" w:space="0"/>
            </w:tcBorders>
            <w:shd w:val="clear" w:color="auto" w:fill="auto"/>
            <w:vAlign w:val="top"/>
          </w:tcPr>
          <w:p w14:paraId="28DED96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1、服务响应（2 分）：承诺对报审答疑、技术交底等需求在12小时内响应的得 2 分，承诺24小时内响应的得 1 分，响应时间超过24小时的得 0 分。</w:t>
            </w:r>
          </w:p>
          <w:p w14:paraId="3FA6C81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2、后续配合（1分）：承诺免费配合成果报审修改、施工图交底的服务周期≥6 个月的得1分，服务周期＜6个月的得 0 分。</w:t>
            </w:r>
          </w:p>
          <w:p w14:paraId="18BDFF3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3、服务方案（1 分）：售后服务方案内容具体、职责明确、措施可行的得 1 分，方案简单或缺失的得 0 分。</w:t>
            </w:r>
          </w:p>
          <w:p w14:paraId="59E2EEBE">
            <w:pPr>
              <w:jc w:val="left"/>
              <w:rPr>
                <w:rFonts w:hint="eastAsia" w:ascii="宋体" w:hAnsi="宋体" w:eastAsia="宋体" w:cs="宋体"/>
                <w:sz w:val="18"/>
                <w:szCs w:val="18"/>
              </w:rPr>
            </w:pPr>
          </w:p>
          <w:p w14:paraId="4004F03F">
            <w:pPr>
              <w:pStyle w:val="55"/>
              <w:spacing w:line="240" w:lineRule="auto"/>
              <w:jc w:val="left"/>
              <w:rPr>
                <w:rFonts w:hint="eastAsia" w:ascii="宋体" w:hAnsi="宋体" w:eastAsia="宋体" w:cs="宋体"/>
                <w:sz w:val="18"/>
                <w:szCs w:val="18"/>
                <w:lang w:eastAsia="zh-Hans"/>
              </w:rPr>
            </w:pPr>
          </w:p>
        </w:tc>
      </w:tr>
    </w:tbl>
    <w:p w14:paraId="6D096BAF">
      <w:pPr>
        <w:rPr>
          <w:rFonts w:hint="eastAsia"/>
        </w:rPr>
      </w:pPr>
    </w:p>
    <w:p w14:paraId="6802AE5C">
      <w:pPr>
        <w:pStyle w:val="2"/>
        <w:numPr>
          <w:ilvl w:val="0"/>
          <w:numId w:val="0"/>
        </w:numPr>
        <w:jc w:val="both"/>
        <w:rPr>
          <w:rFonts w:hint="eastAsia"/>
        </w:rPr>
      </w:pPr>
      <w:bookmarkStart w:id="10" w:name="_Toc5913"/>
      <w:bookmarkStart w:id="11" w:name="_Toc4960"/>
      <w:bookmarkStart w:id="12" w:name="_Toc29819"/>
    </w:p>
    <w:p w14:paraId="1C243F87">
      <w:pPr>
        <w:pStyle w:val="2"/>
        <w:numPr>
          <w:ilvl w:val="0"/>
          <w:numId w:val="0"/>
        </w:numPr>
        <w:ind w:firstLine="3253" w:firstLineChars="900"/>
        <w:jc w:val="both"/>
        <w:rPr>
          <w:rFonts w:hint="eastAsia"/>
        </w:rPr>
      </w:pPr>
    </w:p>
    <w:p w14:paraId="4A63B933">
      <w:pPr>
        <w:pStyle w:val="2"/>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0"/>
      <w:bookmarkEnd w:id="11"/>
      <w:bookmarkEnd w:id="12"/>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3" w:name="_Toc9428"/>
      <w:bookmarkStart w:id="14" w:name="_Toc19851"/>
      <w:bookmarkStart w:id="15" w:name="_Toc30609"/>
      <w:r>
        <w:rPr>
          <w:rFonts w:hint="eastAsia" w:ascii="仿宋" w:hAnsi="仿宋" w:eastAsia="仿宋" w:cs="仿宋"/>
          <w:sz w:val="24"/>
          <w:szCs w:val="24"/>
        </w:rPr>
        <w:t>项目名称：</w:t>
      </w:r>
      <w:bookmarkEnd w:id="13"/>
      <w:bookmarkEnd w:id="14"/>
      <w:bookmarkEnd w:id="15"/>
    </w:p>
    <w:p w14:paraId="09C74AF7">
      <w:pPr>
        <w:jc w:val="left"/>
        <w:rPr>
          <w:rFonts w:ascii="仿宋" w:hAnsi="仿宋" w:eastAsia="仿宋" w:cs="仿宋"/>
          <w:sz w:val="24"/>
          <w:szCs w:val="24"/>
        </w:rPr>
      </w:pPr>
      <w:bookmarkStart w:id="16" w:name="_Toc1544"/>
      <w:bookmarkStart w:id="17" w:name="_Toc9041"/>
      <w:bookmarkStart w:id="18" w:name="_Toc32352"/>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6"/>
      <w:bookmarkEnd w:id="17"/>
      <w:bookmarkEnd w:id="18"/>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19" w:name="_Toc21472"/>
      <w:bookmarkStart w:id="20" w:name="_Toc24097"/>
    </w:p>
    <w:bookmarkEnd w:id="19"/>
    <w:bookmarkEnd w:id="20"/>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1" w:name="_Toc24859"/>
      <w:bookmarkStart w:id="22" w:name="_Toc32749"/>
      <w:bookmarkStart w:id="23" w:name="_Toc17163"/>
      <w:bookmarkStart w:id="24" w:name="_Toc1690"/>
      <w:r>
        <w:rPr>
          <w:rFonts w:hint="eastAsia" w:ascii="仿宋" w:hAnsi="仿宋" w:eastAsia="仿宋" w:cs="仿宋"/>
          <w:sz w:val="28"/>
          <w:szCs w:val="24"/>
        </w:rPr>
        <w:t>供应商名称（公章）：</w:t>
      </w:r>
      <w:bookmarkEnd w:id="21"/>
      <w:bookmarkEnd w:id="22"/>
      <w:bookmarkEnd w:id="23"/>
      <w:bookmarkEnd w:id="24"/>
    </w:p>
    <w:p w14:paraId="396DC5DF">
      <w:pPr>
        <w:jc w:val="left"/>
        <w:rPr>
          <w:rFonts w:ascii="仿宋" w:hAnsi="仿宋" w:eastAsia="仿宋" w:cs="仿宋"/>
          <w:sz w:val="28"/>
          <w:szCs w:val="24"/>
        </w:rPr>
      </w:pPr>
      <w:bookmarkStart w:id="25" w:name="_Toc24123"/>
      <w:bookmarkStart w:id="26" w:name="_Toc3558"/>
      <w:bookmarkStart w:id="27" w:name="_Toc6803"/>
      <w:bookmarkStart w:id="28" w:name="_Toc17905"/>
      <w:r>
        <w:rPr>
          <w:rFonts w:hint="eastAsia" w:ascii="仿宋" w:hAnsi="仿宋" w:eastAsia="仿宋" w:cs="仿宋"/>
          <w:sz w:val="28"/>
          <w:szCs w:val="24"/>
        </w:rPr>
        <w:t>法定代表人或授权代理人（签字）：</w:t>
      </w:r>
      <w:bookmarkEnd w:id="25"/>
      <w:bookmarkEnd w:id="26"/>
      <w:bookmarkEnd w:id="27"/>
      <w:bookmarkEnd w:id="28"/>
    </w:p>
    <w:p w14:paraId="598B7326">
      <w:pPr>
        <w:jc w:val="left"/>
        <w:rPr>
          <w:rFonts w:ascii="仿宋" w:hAnsi="仿宋" w:eastAsia="仿宋" w:cs="仿宋"/>
          <w:sz w:val="28"/>
          <w:szCs w:val="24"/>
        </w:rPr>
      </w:pPr>
      <w:bookmarkStart w:id="29" w:name="_Toc5996"/>
      <w:bookmarkStart w:id="30" w:name="_Toc27526"/>
      <w:bookmarkStart w:id="31" w:name="_Toc2989"/>
      <w:bookmarkStart w:id="32" w:name="_Toc27135"/>
      <w:r>
        <w:rPr>
          <w:rFonts w:hint="eastAsia" w:ascii="仿宋" w:hAnsi="仿宋" w:eastAsia="仿宋" w:cs="仿宋"/>
          <w:sz w:val="28"/>
          <w:szCs w:val="24"/>
        </w:rPr>
        <w:t>联系方式（移动电话）：</w:t>
      </w:r>
      <w:bookmarkEnd w:id="29"/>
      <w:bookmarkEnd w:id="30"/>
      <w:bookmarkEnd w:id="31"/>
      <w:bookmarkEnd w:id="32"/>
    </w:p>
    <w:p w14:paraId="43A623A5">
      <w:pPr>
        <w:jc w:val="left"/>
        <w:rPr>
          <w:rFonts w:ascii="仿宋" w:hAnsi="仿宋" w:eastAsia="仿宋" w:cs="仿宋"/>
          <w:sz w:val="28"/>
          <w:szCs w:val="24"/>
        </w:rPr>
      </w:pPr>
      <w:bookmarkStart w:id="33" w:name="_Toc2031"/>
      <w:bookmarkStart w:id="34" w:name="_Toc19987"/>
      <w:bookmarkStart w:id="35" w:name="_Toc7233"/>
      <w:bookmarkStart w:id="36" w:name="_Toc5056"/>
      <w:r>
        <w:rPr>
          <w:rFonts w:hint="eastAsia" w:ascii="仿宋" w:hAnsi="仿宋" w:eastAsia="仿宋" w:cs="仿宋"/>
          <w:sz w:val="28"/>
          <w:szCs w:val="24"/>
        </w:rPr>
        <w:t>日期：     年    月     日</w:t>
      </w:r>
      <w:bookmarkEnd w:id="33"/>
      <w:bookmarkEnd w:id="34"/>
      <w:bookmarkEnd w:id="35"/>
      <w:bookmarkEnd w:id="36"/>
    </w:p>
    <w:p w14:paraId="5C0A76E7">
      <w:pPr>
        <w:jc w:val="center"/>
        <w:rPr>
          <w:rFonts w:ascii="仿宋" w:hAnsi="仿宋" w:eastAsia="仿宋" w:cs="仿宋"/>
          <w:sz w:val="32"/>
          <w:szCs w:val="40"/>
        </w:rPr>
      </w:pPr>
      <w:bookmarkStart w:id="37" w:name="_Toc3023"/>
      <w:bookmarkStart w:id="38" w:name="_Toc11352"/>
      <w:bookmarkStart w:id="39" w:name="_Toc21519"/>
      <w:bookmarkStart w:id="40" w:name="_Toc16029"/>
      <w:bookmarkStart w:id="41" w:name="_Toc6482"/>
      <w:bookmarkStart w:id="42" w:name="_Toc14829"/>
    </w:p>
    <w:p w14:paraId="4512E9B2">
      <w:pPr>
        <w:rPr>
          <w:rStyle w:val="36"/>
          <w:rFonts w:ascii="仿宋" w:hAnsi="仿宋" w:eastAsia="仿宋" w:cs="仿宋"/>
          <w:b/>
          <w:bCs/>
          <w:sz w:val="32"/>
          <w:szCs w:val="28"/>
        </w:rPr>
      </w:pPr>
      <w:r>
        <w:rPr>
          <w:rStyle w:val="36"/>
          <w:rFonts w:hint="eastAsia" w:ascii="仿宋" w:hAnsi="仿宋" w:eastAsia="仿宋" w:cs="仿宋"/>
          <w:b/>
          <w:bCs/>
          <w:sz w:val="32"/>
          <w:szCs w:val="28"/>
        </w:rPr>
        <w:br w:type="page"/>
      </w:r>
    </w:p>
    <w:bookmarkEnd w:id="37"/>
    <w:bookmarkEnd w:id="38"/>
    <w:bookmarkEnd w:id="39"/>
    <w:bookmarkEnd w:id="40"/>
    <w:bookmarkEnd w:id="41"/>
    <w:bookmarkEnd w:id="42"/>
    <w:p w14:paraId="1B7C2E1E">
      <w:pPr>
        <w:pStyle w:val="3"/>
        <w:ind w:firstLine="0"/>
      </w:pPr>
      <w:bookmarkStart w:id="43" w:name="_Toc22676"/>
      <w:bookmarkStart w:id="44" w:name="_Toc31838"/>
      <w:bookmarkStart w:id="45" w:name="_Toc17857"/>
      <w:bookmarkStart w:id="46" w:name="_Toc30971"/>
      <w:bookmarkStart w:id="47" w:name="_Toc4305"/>
      <w:r>
        <w:rPr>
          <w:rFonts w:hint="eastAsia"/>
        </w:rPr>
        <w:t>承诺函</w:t>
      </w:r>
    </w:p>
    <w:p w14:paraId="032CC9B3">
      <w:pPr>
        <w:pStyle w:val="10"/>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10"/>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10"/>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p>
    <w:p w14:paraId="6BA346BD">
      <w:pPr>
        <w:pStyle w:val="3"/>
        <w:ind w:left="-1" w:firstLine="0"/>
      </w:pPr>
      <w:r>
        <w:rPr>
          <w:rFonts w:hint="eastAsia"/>
        </w:rPr>
        <w:t>具有独立承担民事责任的能力</w:t>
      </w:r>
      <w:bookmarkEnd w:id="43"/>
      <w:bookmarkEnd w:id="44"/>
      <w:bookmarkEnd w:id="45"/>
      <w:bookmarkEnd w:id="46"/>
      <w:bookmarkEnd w:id="47"/>
    </w:p>
    <w:p w14:paraId="074FEAEC">
      <w:pPr>
        <w:pStyle w:val="10"/>
        <w:jc w:val="center"/>
        <w:rPr>
          <w:rFonts w:ascii="仿宋" w:hAnsi="仿宋" w:eastAsia="仿宋" w:cs="仿宋"/>
          <w:b/>
          <w:bCs/>
        </w:rPr>
      </w:pPr>
    </w:p>
    <w:p w14:paraId="7A1AF603">
      <w:pPr>
        <w:jc w:val="center"/>
        <w:rPr>
          <w:rStyle w:val="36"/>
          <w:rFonts w:ascii="仿宋" w:hAnsi="仿宋" w:eastAsia="仿宋" w:cs="仿宋"/>
          <w:sz w:val="32"/>
          <w:szCs w:val="28"/>
        </w:rPr>
      </w:pPr>
      <w:r>
        <w:rPr>
          <w:rFonts w:hint="eastAsia" w:ascii="仿宋" w:hAnsi="仿宋" w:eastAsia="仿宋" w:cs="仿宋"/>
          <w:sz w:val="32"/>
          <w:szCs w:val="36"/>
        </w:rPr>
        <w:t>（按第三章要求提供）</w:t>
      </w:r>
    </w:p>
    <w:p w14:paraId="7FF5B302">
      <w:pPr>
        <w:pStyle w:val="3"/>
        <w:ind w:firstLine="0"/>
        <w:rPr>
          <w:rStyle w:val="36"/>
          <w:rFonts w:ascii="仿宋" w:hAnsi="仿宋" w:cs="仿宋"/>
          <w:szCs w:val="28"/>
        </w:rPr>
      </w:pPr>
      <w:r>
        <w:rPr>
          <w:rFonts w:hint="eastAsia" w:ascii="仿宋" w:hAnsi="仿宋" w:cs="仿宋"/>
          <w:bCs/>
        </w:rPr>
        <w:br w:type="page"/>
      </w:r>
      <w:bookmarkStart w:id="48" w:name="_Toc27186"/>
      <w:bookmarkStart w:id="49" w:name="_Toc15613"/>
      <w:bookmarkStart w:id="50"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48"/>
      <w:bookmarkEnd w:id="49"/>
      <w:bookmarkStart w:id="51" w:name="_Toc13904"/>
      <w:bookmarkStart w:id="52" w:name="_Toc13706"/>
      <w:bookmarkStart w:id="53" w:name="_Toc25357"/>
    </w:p>
    <w:p w14:paraId="17310EC5">
      <w:pPr>
        <w:pStyle w:val="3"/>
        <w:ind w:firstLine="0"/>
      </w:pPr>
      <w:bookmarkStart w:id="54" w:name="_Toc23146"/>
      <w:bookmarkStart w:id="55" w:name="_Toc15508"/>
      <w:r>
        <w:rPr>
          <w:rFonts w:hint="eastAsia"/>
        </w:rPr>
        <w:t>本项目其他资格条件提供的证明材料</w:t>
      </w:r>
      <w:bookmarkEnd w:id="50"/>
      <w:bookmarkEnd w:id="51"/>
      <w:bookmarkEnd w:id="52"/>
      <w:bookmarkEnd w:id="53"/>
      <w:bookmarkEnd w:id="54"/>
      <w:bookmarkEnd w:id="55"/>
    </w:p>
    <w:p w14:paraId="69919F45">
      <w:pPr>
        <w:pStyle w:val="10"/>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7"/>
        <w:ind w:left="420" w:leftChars="200"/>
        <w:jc w:val="both"/>
        <w:rPr>
          <w:rFonts w:ascii="仿宋" w:hAnsi="仿宋" w:eastAsia="仿宋" w:cs="仿宋"/>
          <w:color w:val="auto"/>
        </w:rPr>
      </w:pPr>
    </w:p>
    <w:p w14:paraId="5830257C">
      <w:pPr>
        <w:pStyle w:val="27"/>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3"/>
        <w:ind w:firstLine="0"/>
        <w:rPr>
          <w:rFonts w:ascii="仿宋" w:hAnsi="仿宋" w:cs="仿宋"/>
          <w:szCs w:val="32"/>
        </w:rPr>
      </w:pPr>
      <w:r>
        <w:rPr>
          <w:rFonts w:hint="eastAsia" w:ascii="仿宋" w:hAnsi="仿宋" w:cs="仿宋"/>
          <w:szCs w:val="32"/>
        </w:rPr>
        <w:br w:type="page"/>
      </w:r>
      <w:bookmarkStart w:id="56" w:name="_Toc15526"/>
      <w:bookmarkStart w:id="57" w:name="_Toc12015"/>
      <w:bookmarkStart w:id="58" w:name="_Toc25638"/>
      <w:bookmarkStart w:id="59" w:name="_Toc20589"/>
      <w:bookmarkStart w:id="60" w:name="_Toc11351"/>
      <w:bookmarkStart w:id="61" w:name="_Toc27661"/>
      <w:r>
        <w:rPr>
          <w:rStyle w:val="44"/>
          <w:rFonts w:hint="eastAsia"/>
          <w:b/>
        </w:rPr>
        <w:t>法定代表人身份证明书</w:t>
      </w:r>
      <w:bookmarkEnd w:id="56"/>
      <w:bookmarkEnd w:id="57"/>
      <w:bookmarkEnd w:id="58"/>
      <w:bookmarkEnd w:id="59"/>
      <w:bookmarkEnd w:id="60"/>
      <w:bookmarkEnd w:id="61"/>
    </w:p>
    <w:p w14:paraId="05D40DCC">
      <w:pPr>
        <w:pStyle w:val="27"/>
        <w:jc w:val="center"/>
        <w:rPr>
          <w:rFonts w:ascii="仿宋" w:hAnsi="仿宋" w:eastAsia="仿宋" w:cs="仿宋"/>
          <w:color w:val="auto"/>
        </w:rPr>
      </w:pPr>
    </w:p>
    <w:p w14:paraId="3B82AC88">
      <w:pPr>
        <w:pStyle w:val="2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7"/>
        <w:jc w:val="center"/>
        <w:rPr>
          <w:rFonts w:ascii="仿宋" w:hAnsi="仿宋" w:eastAsia="仿宋" w:cs="仿宋"/>
          <w:color w:val="auto"/>
        </w:rPr>
      </w:pPr>
    </w:p>
    <w:p w14:paraId="03AFA725">
      <w:pPr>
        <w:pStyle w:val="27"/>
        <w:jc w:val="center"/>
        <w:rPr>
          <w:rFonts w:ascii="仿宋" w:hAnsi="仿宋" w:eastAsia="仿宋" w:cs="仿宋"/>
          <w:color w:val="auto"/>
        </w:rPr>
      </w:pPr>
    </w:p>
    <w:p w14:paraId="36D1FFBF">
      <w:pPr>
        <w:pStyle w:val="27"/>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7"/>
        <w:rPr>
          <w:rFonts w:ascii="仿宋" w:hAnsi="仿宋" w:eastAsia="仿宋" w:cs="仿宋"/>
          <w:color w:val="auto"/>
        </w:rPr>
      </w:pPr>
      <w:r>
        <w:rPr>
          <w:rFonts w:hint="eastAsia" w:ascii="仿宋" w:hAnsi="仿宋" w:eastAsia="仿宋" w:cs="仿宋"/>
          <w:color w:val="auto"/>
        </w:rPr>
        <w:t>特此证明。</w:t>
      </w:r>
    </w:p>
    <w:p w14:paraId="7F6D5CB9">
      <w:pPr>
        <w:pStyle w:val="27"/>
        <w:jc w:val="both"/>
        <w:rPr>
          <w:rFonts w:ascii="仿宋" w:hAnsi="仿宋" w:eastAsia="仿宋" w:cs="仿宋"/>
          <w:color w:val="auto"/>
        </w:rPr>
      </w:pPr>
    </w:p>
    <w:p w14:paraId="195A478C">
      <w:pPr>
        <w:pStyle w:val="27"/>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10"/>
        <w:jc w:val="left"/>
        <w:rPr>
          <w:rFonts w:ascii="仿宋" w:hAnsi="仿宋" w:eastAsia="仿宋" w:cs="仿宋"/>
          <w:sz w:val="24"/>
        </w:rPr>
      </w:pPr>
      <w:r>
        <w:rPr>
          <w:rFonts w:hint="eastAsia" w:ascii="仿宋" w:hAnsi="仿宋" w:eastAsia="仿宋" w:cs="仿宋"/>
          <w:bCs/>
          <w:sz w:val="24"/>
        </w:rPr>
        <w:t>时间：</w:t>
      </w:r>
    </w:p>
    <w:p w14:paraId="7E63ADEF">
      <w:pPr>
        <w:pStyle w:val="27"/>
        <w:jc w:val="center"/>
        <w:rPr>
          <w:rFonts w:ascii="仿宋" w:hAnsi="仿宋" w:eastAsia="仿宋" w:cs="仿宋"/>
          <w:color w:val="auto"/>
        </w:rPr>
      </w:pPr>
    </w:p>
    <w:p w14:paraId="00C39A75">
      <w:pPr>
        <w:pStyle w:val="27"/>
        <w:jc w:val="center"/>
        <w:rPr>
          <w:rFonts w:ascii="仿宋" w:hAnsi="仿宋" w:eastAsia="仿宋" w:cs="仿宋"/>
          <w:color w:val="auto"/>
        </w:rPr>
      </w:pPr>
    </w:p>
    <w:p w14:paraId="3A8F8597">
      <w:pPr>
        <w:pStyle w:val="27"/>
        <w:rPr>
          <w:rFonts w:ascii="仿宋" w:hAnsi="仿宋" w:eastAsia="仿宋" w:cs="仿宋"/>
          <w:color w:val="auto"/>
        </w:rPr>
      </w:pPr>
      <w:r>
        <w:rPr>
          <w:rFonts w:hint="eastAsia" w:ascii="仿宋" w:hAnsi="仿宋" w:eastAsia="仿宋" w:cs="仿宋"/>
          <w:color w:val="auto"/>
        </w:rPr>
        <w:t>注：</w:t>
      </w:r>
    </w:p>
    <w:p w14:paraId="4EA6D184">
      <w:pPr>
        <w:pStyle w:val="27"/>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7"/>
        <w:jc w:val="both"/>
        <w:rPr>
          <w:rFonts w:ascii="仿宋" w:hAnsi="仿宋" w:eastAsia="仿宋" w:cs="仿宋"/>
          <w:color w:val="auto"/>
          <w:sz w:val="32"/>
          <w:szCs w:val="32"/>
        </w:rPr>
      </w:pPr>
    </w:p>
    <w:p w14:paraId="4F51345A">
      <w:pPr>
        <w:pStyle w:val="27"/>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6"/>
          <w:rFonts w:hint="eastAsia" w:ascii="仿宋" w:hAnsi="仿宋" w:eastAsia="仿宋" w:cs="仿宋"/>
          <w:b/>
          <w:bCs/>
          <w:color w:val="auto"/>
          <w:kern w:val="2"/>
          <w:sz w:val="32"/>
          <w:szCs w:val="28"/>
        </w:rPr>
        <w:t>法定代表人授权委托书</w:t>
      </w:r>
    </w:p>
    <w:p w14:paraId="24304F0C">
      <w:pPr>
        <w:pStyle w:val="27"/>
        <w:jc w:val="center"/>
        <w:rPr>
          <w:rFonts w:ascii="仿宋" w:hAnsi="仿宋" w:eastAsia="仿宋" w:cs="仿宋"/>
          <w:b/>
          <w:bCs/>
          <w:color w:val="auto"/>
        </w:rPr>
      </w:pPr>
    </w:p>
    <w:p w14:paraId="4E13D238">
      <w:pPr>
        <w:pStyle w:val="2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7"/>
        <w:jc w:val="center"/>
        <w:rPr>
          <w:rFonts w:ascii="仿宋" w:hAnsi="仿宋" w:eastAsia="仿宋" w:cs="仿宋"/>
          <w:color w:val="auto"/>
        </w:rPr>
      </w:pPr>
    </w:p>
    <w:p w14:paraId="12388C27">
      <w:pPr>
        <w:pStyle w:val="10"/>
        <w:snapToGrid w:val="0"/>
        <w:spacing w:after="0" w:line="500" w:lineRule="exact"/>
        <w:ind w:firstLine="480" w:firstLineChars="200"/>
        <w:rPr>
          <w:rFonts w:ascii="仿宋" w:hAnsi="仿宋" w:eastAsia="仿宋" w:cs="仿宋"/>
          <w:sz w:val="24"/>
        </w:rPr>
      </w:pPr>
    </w:p>
    <w:p w14:paraId="1162A055">
      <w:pPr>
        <w:pStyle w:val="10"/>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10"/>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10"/>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3"/>
        <w:ind w:firstLine="0"/>
        <w:rPr>
          <w:rStyle w:val="44"/>
          <w:rFonts w:ascii="仿宋" w:hAnsi="仿宋" w:cs="仿宋"/>
          <w:b/>
          <w:szCs w:val="32"/>
        </w:rPr>
      </w:pPr>
      <w:r>
        <w:rPr>
          <w:rFonts w:hint="eastAsia" w:ascii="仿宋" w:hAnsi="仿宋" w:cs="仿宋"/>
          <w:szCs w:val="32"/>
        </w:rPr>
        <w:br w:type="page"/>
      </w:r>
      <w:bookmarkStart w:id="62" w:name="_Toc12967"/>
      <w:bookmarkStart w:id="63" w:name="_Toc26969"/>
      <w:bookmarkStart w:id="64" w:name="_Toc1074"/>
      <w:bookmarkStart w:id="65" w:name="_Toc2041"/>
      <w:bookmarkStart w:id="66" w:name="_Toc23967"/>
      <w:bookmarkStart w:id="67" w:name="_Toc16435"/>
      <w:r>
        <w:rPr>
          <w:rStyle w:val="44"/>
          <w:rFonts w:hint="eastAsia"/>
          <w:b/>
        </w:rPr>
        <w:t>采购需求偏离表</w:t>
      </w:r>
      <w:bookmarkEnd w:id="62"/>
      <w:bookmarkEnd w:id="63"/>
      <w:bookmarkEnd w:id="64"/>
      <w:bookmarkEnd w:id="65"/>
      <w:bookmarkEnd w:id="66"/>
      <w:bookmarkEnd w:id="67"/>
    </w:p>
    <w:p w14:paraId="4486095D">
      <w:pPr>
        <w:pStyle w:val="3"/>
        <w:numPr>
          <w:ilvl w:val="0"/>
          <w:numId w:val="0"/>
        </w:numPr>
        <w:ind w:firstLine="3534" w:firstLineChars="1100"/>
        <w:jc w:val="both"/>
        <w:rPr>
          <w:rFonts w:ascii="仿宋" w:hAnsi="仿宋" w:cs="仿宋"/>
          <w:szCs w:val="32"/>
        </w:rPr>
      </w:pPr>
      <w:r>
        <w:rPr>
          <w:rStyle w:val="44"/>
          <w:rFonts w:hint="eastAsia"/>
          <w:b/>
        </w:rPr>
        <w:t>1、技术或服务要求偏离表</w:t>
      </w:r>
    </w:p>
    <w:p w14:paraId="37BA59D9">
      <w:pPr>
        <w:pStyle w:val="10"/>
        <w:spacing w:line="300" w:lineRule="atLeast"/>
        <w:rPr>
          <w:rFonts w:ascii="仿宋" w:hAnsi="仿宋" w:eastAsia="仿宋" w:cs="仿宋"/>
          <w:kern w:val="0"/>
          <w:sz w:val="24"/>
          <w:lang w:val="zh-TW" w:eastAsia="zh-TW"/>
        </w:rPr>
      </w:pPr>
    </w:p>
    <w:tbl>
      <w:tblPr>
        <w:tblStyle w:val="22"/>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0"/>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7"/>
        <w:jc w:val="center"/>
        <w:rPr>
          <w:rFonts w:ascii="仿宋" w:hAnsi="仿宋" w:eastAsia="仿宋" w:cs="仿宋"/>
          <w:color w:val="auto"/>
          <w:sz w:val="32"/>
          <w:szCs w:val="32"/>
        </w:rPr>
      </w:pPr>
    </w:p>
    <w:p w14:paraId="78FA94AA">
      <w:pPr>
        <w:pStyle w:val="3"/>
        <w:numPr>
          <w:ilvl w:val="0"/>
          <w:numId w:val="0"/>
        </w:numPr>
        <w:ind w:firstLine="3534" w:firstLineChars="1100"/>
        <w:jc w:val="both"/>
        <w:rPr>
          <w:rStyle w:val="44"/>
          <w:b/>
        </w:rPr>
      </w:pPr>
    </w:p>
    <w:p w14:paraId="538B348C">
      <w:pPr>
        <w:pStyle w:val="3"/>
        <w:numPr>
          <w:ilvl w:val="0"/>
          <w:numId w:val="0"/>
        </w:numPr>
        <w:ind w:firstLine="3534" w:firstLineChars="1100"/>
        <w:jc w:val="both"/>
        <w:rPr>
          <w:rStyle w:val="44"/>
          <w:b/>
        </w:rPr>
      </w:pPr>
    </w:p>
    <w:p w14:paraId="1D350067">
      <w:pPr>
        <w:pStyle w:val="3"/>
        <w:numPr>
          <w:ilvl w:val="0"/>
          <w:numId w:val="0"/>
        </w:numPr>
        <w:ind w:firstLine="3534" w:firstLineChars="1100"/>
        <w:jc w:val="both"/>
        <w:rPr>
          <w:rStyle w:val="44"/>
          <w:b/>
        </w:rPr>
      </w:pPr>
    </w:p>
    <w:p w14:paraId="3DA804A1">
      <w:pPr>
        <w:pStyle w:val="3"/>
        <w:numPr>
          <w:ilvl w:val="0"/>
          <w:numId w:val="0"/>
        </w:numPr>
        <w:ind w:firstLine="3534" w:firstLineChars="1100"/>
        <w:jc w:val="both"/>
        <w:rPr>
          <w:rStyle w:val="44"/>
          <w:b/>
        </w:rPr>
      </w:pPr>
    </w:p>
    <w:p w14:paraId="0131036C">
      <w:pPr>
        <w:pStyle w:val="3"/>
        <w:numPr>
          <w:ilvl w:val="0"/>
          <w:numId w:val="0"/>
        </w:numPr>
        <w:ind w:firstLine="3534" w:firstLineChars="1100"/>
        <w:jc w:val="both"/>
        <w:rPr>
          <w:rStyle w:val="44"/>
          <w:b/>
        </w:rPr>
      </w:pPr>
    </w:p>
    <w:p w14:paraId="0F3815F8">
      <w:pPr>
        <w:pStyle w:val="3"/>
        <w:numPr>
          <w:ilvl w:val="0"/>
          <w:numId w:val="0"/>
        </w:numPr>
        <w:ind w:firstLine="3534" w:firstLineChars="1100"/>
        <w:jc w:val="both"/>
        <w:rPr>
          <w:rStyle w:val="44"/>
          <w:b/>
        </w:rPr>
      </w:pPr>
    </w:p>
    <w:p w14:paraId="0AC23294">
      <w:pPr>
        <w:pStyle w:val="3"/>
        <w:numPr>
          <w:ilvl w:val="0"/>
          <w:numId w:val="0"/>
        </w:numPr>
        <w:ind w:firstLine="3534" w:firstLineChars="1100"/>
        <w:jc w:val="both"/>
        <w:rPr>
          <w:rStyle w:val="44"/>
          <w:b/>
        </w:rPr>
      </w:pPr>
    </w:p>
    <w:p w14:paraId="317D2E89">
      <w:pPr>
        <w:pStyle w:val="3"/>
        <w:numPr>
          <w:ilvl w:val="0"/>
          <w:numId w:val="0"/>
        </w:numPr>
        <w:ind w:firstLine="3534" w:firstLineChars="1100"/>
        <w:jc w:val="both"/>
        <w:rPr>
          <w:rStyle w:val="44"/>
          <w:b/>
        </w:rPr>
      </w:pPr>
    </w:p>
    <w:p w14:paraId="41DF1E15">
      <w:pPr>
        <w:pStyle w:val="3"/>
        <w:numPr>
          <w:ilvl w:val="0"/>
          <w:numId w:val="0"/>
        </w:numPr>
        <w:ind w:firstLine="3534" w:firstLineChars="1100"/>
        <w:jc w:val="both"/>
        <w:rPr>
          <w:rFonts w:ascii="仿宋" w:hAnsi="仿宋" w:cs="仿宋"/>
          <w:szCs w:val="32"/>
        </w:rPr>
      </w:pPr>
      <w:r>
        <w:rPr>
          <w:rStyle w:val="44"/>
          <w:rFonts w:hint="eastAsia"/>
          <w:b/>
        </w:rPr>
        <w:t>2、商务要求偏离表</w:t>
      </w:r>
    </w:p>
    <w:p w14:paraId="0C56E64E">
      <w:pPr>
        <w:pStyle w:val="10"/>
        <w:spacing w:line="300" w:lineRule="atLeast"/>
        <w:rPr>
          <w:rFonts w:ascii="仿宋" w:hAnsi="仿宋" w:eastAsia="仿宋" w:cs="仿宋"/>
          <w:kern w:val="0"/>
          <w:sz w:val="24"/>
          <w:lang w:val="zh-TW" w:eastAsia="zh-TW"/>
        </w:rPr>
      </w:pPr>
    </w:p>
    <w:tbl>
      <w:tblPr>
        <w:tblStyle w:val="22"/>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0"/>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7"/>
        <w:jc w:val="center"/>
        <w:rPr>
          <w:rFonts w:ascii="仿宋" w:hAnsi="仿宋" w:eastAsia="仿宋" w:cs="仿宋"/>
          <w:color w:val="auto"/>
          <w:sz w:val="32"/>
          <w:szCs w:val="32"/>
        </w:rPr>
      </w:pPr>
    </w:p>
    <w:p w14:paraId="4A2C47A1">
      <w:pPr>
        <w:pStyle w:val="27"/>
        <w:jc w:val="center"/>
        <w:rPr>
          <w:rFonts w:ascii="仿宋" w:hAnsi="仿宋" w:eastAsia="仿宋" w:cs="仿宋"/>
          <w:color w:val="auto"/>
          <w:sz w:val="32"/>
          <w:szCs w:val="32"/>
        </w:rPr>
      </w:pPr>
      <w:r>
        <w:rPr>
          <w:rFonts w:hint="eastAsia" w:ascii="仿宋" w:hAnsi="仿宋" w:cs="仿宋"/>
          <w:szCs w:val="32"/>
        </w:rPr>
        <w:br w:type="page"/>
      </w:r>
    </w:p>
    <w:p w14:paraId="655B6C37">
      <w:pPr>
        <w:pStyle w:val="3"/>
        <w:numPr>
          <w:ilvl w:val="0"/>
          <w:numId w:val="0"/>
        </w:numPr>
        <w:jc w:val="both"/>
        <w:rPr>
          <w:rFonts w:ascii="仿宋" w:hAnsi="仿宋" w:cs="仿宋"/>
          <w:bCs/>
          <w:szCs w:val="32"/>
        </w:rPr>
      </w:pPr>
      <w:bookmarkStart w:id="68" w:name="_Toc24806"/>
      <w:bookmarkStart w:id="69" w:name="_Toc26839"/>
      <w:bookmarkStart w:id="70" w:name="_Toc28634"/>
      <w:bookmarkStart w:id="71" w:name="_Toc1369"/>
      <w:bookmarkStart w:id="72" w:name="_Toc31686"/>
      <w:bookmarkStart w:id="73" w:name="_Toc21082"/>
      <w:r>
        <w:rPr>
          <w:rFonts w:hint="eastAsia" w:ascii="仿宋" w:hAnsi="仿宋" w:cs="仿宋"/>
          <w:szCs w:val="32"/>
        </w:rPr>
        <w:t>七、</w:t>
      </w:r>
      <w:r>
        <w:rPr>
          <w:rStyle w:val="44"/>
          <w:rFonts w:hint="eastAsia"/>
          <w:b/>
        </w:rPr>
        <w:t>评分需要提供的证明材料</w:t>
      </w:r>
      <w:bookmarkEnd w:id="68"/>
      <w:bookmarkEnd w:id="69"/>
      <w:bookmarkEnd w:id="70"/>
      <w:bookmarkEnd w:id="71"/>
      <w:bookmarkEnd w:id="72"/>
      <w:bookmarkEnd w:id="73"/>
    </w:p>
    <w:p w14:paraId="3A6C57E4">
      <w:pPr>
        <w:pStyle w:val="27"/>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7"/>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6"/>
          <w:rFonts w:ascii="仿宋" w:hAnsi="仿宋" w:eastAsia="仿宋" w:cs="仿宋"/>
          <w:sz w:val="32"/>
          <w:szCs w:val="28"/>
        </w:rPr>
      </w:pPr>
      <w:r>
        <w:rPr>
          <w:rFonts w:hint="eastAsia" w:ascii="仿宋" w:hAnsi="仿宋" w:eastAsia="仿宋" w:cs="仿宋"/>
          <w:b/>
          <w:bCs/>
          <w:sz w:val="32"/>
          <w:szCs w:val="32"/>
        </w:rPr>
        <w:br w:type="page"/>
      </w:r>
      <w:bookmarkStart w:id="74" w:name="_Toc3871"/>
      <w:bookmarkStart w:id="75" w:name="_Toc24494"/>
      <w:bookmarkStart w:id="76" w:name="_Toc32605"/>
    </w:p>
    <w:p w14:paraId="26149625">
      <w:pPr>
        <w:pStyle w:val="3"/>
        <w:numPr>
          <w:ilvl w:val="1"/>
          <w:numId w:val="9"/>
        </w:numPr>
        <w:jc w:val="both"/>
      </w:pPr>
      <w:bookmarkStart w:id="77" w:name="_Toc30002"/>
      <w:bookmarkStart w:id="78" w:name="_Toc14685"/>
      <w:bookmarkStart w:id="79" w:name="_Toc29032"/>
      <w:r>
        <w:rPr>
          <w:rFonts w:hint="eastAsia"/>
        </w:rPr>
        <w:t>报价单</w:t>
      </w:r>
    </w:p>
    <w:p w14:paraId="37B9C057">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9E46B10">
      <w:pPr>
        <w:pStyle w:val="10"/>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ABD95E5">
      <w:pPr>
        <w:pStyle w:val="10"/>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508534DE">
      <w:pPr>
        <w:pStyle w:val="10"/>
        <w:rPr>
          <w:rFonts w:ascii="仿宋" w:hAnsi="仿宋" w:eastAsia="仿宋" w:cs="仿宋"/>
          <w:b/>
          <w:bCs/>
        </w:rPr>
      </w:pPr>
      <w:r>
        <w:rPr>
          <w:rFonts w:hint="eastAsia" w:ascii="仿宋" w:hAnsi="仿宋" w:eastAsia="仿宋" w:cs="仿宋"/>
          <w:b/>
          <w:bCs/>
        </w:rPr>
        <w:t>2.报价一览表</w:t>
      </w:r>
    </w:p>
    <w:tbl>
      <w:tblPr>
        <w:tblStyle w:val="2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3175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291164C4">
            <w:pPr>
              <w:pStyle w:val="10"/>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214B8B4C">
            <w:pPr>
              <w:pStyle w:val="10"/>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147ED34E">
            <w:pPr>
              <w:pStyle w:val="10"/>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7EC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F8184AB">
            <w:pPr>
              <w:pStyle w:val="10"/>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641110A3">
            <w:pPr>
              <w:pStyle w:val="10"/>
              <w:jc w:val="center"/>
              <w:rPr>
                <w:rFonts w:ascii="仿宋" w:hAnsi="仿宋" w:eastAsia="仿宋" w:cs="仿宋"/>
                <w:sz w:val="24"/>
                <w:szCs w:val="24"/>
              </w:rPr>
            </w:pPr>
          </w:p>
        </w:tc>
        <w:tc>
          <w:tcPr>
            <w:tcW w:w="3817" w:type="dxa"/>
            <w:vAlign w:val="center"/>
          </w:tcPr>
          <w:p w14:paraId="74AF3117">
            <w:pPr>
              <w:pStyle w:val="10"/>
              <w:jc w:val="center"/>
              <w:rPr>
                <w:rFonts w:ascii="仿宋" w:hAnsi="仿宋" w:eastAsia="仿宋" w:cs="仿宋"/>
                <w:sz w:val="24"/>
                <w:szCs w:val="24"/>
              </w:rPr>
            </w:pPr>
          </w:p>
        </w:tc>
      </w:tr>
      <w:tr w14:paraId="458A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B31A2E">
            <w:pPr>
              <w:pStyle w:val="10"/>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809609F">
            <w:pPr>
              <w:pStyle w:val="10"/>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3EE3F764">
      <w:pPr>
        <w:widowControl/>
        <w:jc w:val="left"/>
        <w:rPr>
          <w:rFonts w:ascii="仿宋" w:hAnsi="仿宋" w:eastAsia="仿宋" w:cs="仿宋"/>
          <w:sz w:val="24"/>
          <w:szCs w:val="24"/>
          <w:lang w:val="zh-TW"/>
        </w:rPr>
      </w:pPr>
    </w:p>
    <w:p w14:paraId="03295931">
      <w:pPr>
        <w:widowControl/>
        <w:jc w:val="left"/>
        <w:rPr>
          <w:rFonts w:ascii="仿宋" w:hAnsi="仿宋" w:eastAsia="仿宋" w:cs="仿宋"/>
          <w:sz w:val="24"/>
          <w:szCs w:val="24"/>
          <w:lang w:val="zh-TW"/>
        </w:rPr>
      </w:pPr>
    </w:p>
    <w:p w14:paraId="2DAB069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444D9DFD">
      <w:pPr>
        <w:pStyle w:val="10"/>
        <w:rPr>
          <w:rFonts w:ascii="仿宋" w:hAnsi="仿宋" w:eastAsia="仿宋" w:cs="仿宋"/>
          <w:lang w:val="zh-TW" w:eastAsia="zh-TW"/>
        </w:rPr>
      </w:pPr>
    </w:p>
    <w:p w14:paraId="1659686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24B44DC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759E336C">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44700B1D">
      <w:pPr>
        <w:rPr>
          <w:rFonts w:ascii="仿宋" w:hAnsi="仿宋" w:eastAsia="仿宋" w:cs="仿宋"/>
          <w:sz w:val="24"/>
          <w:szCs w:val="24"/>
          <w:u w:val="single"/>
        </w:rPr>
      </w:pPr>
      <w:r>
        <w:rPr>
          <w:rFonts w:hint="eastAsia" w:ascii="仿宋" w:hAnsi="仿宋" w:eastAsia="仿宋" w:cs="仿宋"/>
          <w:sz w:val="24"/>
          <w:szCs w:val="24"/>
          <w:u w:val="single"/>
        </w:rPr>
        <w:br w:type="page"/>
      </w:r>
    </w:p>
    <w:p w14:paraId="7C5B2EF7">
      <w:pPr>
        <w:pStyle w:val="3"/>
        <w:numPr>
          <w:ilvl w:val="1"/>
          <w:numId w:val="9"/>
        </w:numPr>
        <w:jc w:val="both"/>
      </w:pPr>
      <w:r>
        <w:rPr>
          <w:rFonts w:hint="eastAsia"/>
        </w:rPr>
        <w:t>供应商认为需要提供的其他材料</w:t>
      </w:r>
      <w:bookmarkEnd w:id="74"/>
      <w:bookmarkEnd w:id="75"/>
      <w:bookmarkEnd w:id="76"/>
      <w:bookmarkEnd w:id="77"/>
      <w:bookmarkEnd w:id="78"/>
      <w:bookmarkEnd w:id="79"/>
    </w:p>
    <w:p w14:paraId="38D39139">
      <w:pPr>
        <w:pStyle w:val="10"/>
        <w:jc w:val="center"/>
        <w:rPr>
          <w:rFonts w:ascii="仿宋" w:hAnsi="仿宋" w:eastAsia="仿宋" w:cs="仿宋"/>
        </w:rPr>
      </w:pPr>
    </w:p>
    <w:p w14:paraId="08F9FA97">
      <w:pPr>
        <w:pStyle w:val="10"/>
        <w:jc w:val="center"/>
        <w:rPr>
          <w:rFonts w:ascii="仿宋" w:hAnsi="仿宋" w:eastAsia="仿宋" w:cs="仿宋"/>
        </w:rPr>
      </w:pPr>
    </w:p>
    <w:p w14:paraId="1CCF6A58">
      <w:pPr>
        <w:pStyle w:val="10"/>
        <w:jc w:val="center"/>
        <w:rPr>
          <w:rFonts w:ascii="仿宋" w:hAnsi="仿宋" w:eastAsia="仿宋" w:cs="仿宋"/>
        </w:rPr>
      </w:pPr>
    </w:p>
    <w:p w14:paraId="1D2C0268">
      <w:pPr>
        <w:pStyle w:val="10"/>
        <w:jc w:val="center"/>
        <w:rPr>
          <w:rFonts w:ascii="仿宋" w:hAnsi="仿宋" w:eastAsia="仿宋" w:cs="仿宋"/>
          <w:b/>
          <w:bCs/>
          <w:sz w:val="32"/>
          <w:szCs w:val="36"/>
        </w:rPr>
      </w:pPr>
      <w:r>
        <w:rPr>
          <w:rFonts w:hint="eastAsia" w:ascii="仿宋" w:hAnsi="仿宋" w:eastAsia="仿宋" w:cs="仿宋"/>
          <w:b/>
          <w:bCs/>
          <w:sz w:val="32"/>
          <w:szCs w:val="36"/>
        </w:rPr>
        <w:t>格式自拟</w:t>
      </w:r>
    </w:p>
    <w:p w14:paraId="1E4B212B">
      <w:pPr>
        <w:jc w:val="left"/>
        <w:rPr>
          <w:rFonts w:ascii="仿宋" w:hAnsi="仿宋" w:eastAsia="仿宋" w:cs="仿宋"/>
          <w:sz w:val="24"/>
          <w:szCs w:val="24"/>
          <w:u w:val="single"/>
        </w:rPr>
      </w:pPr>
      <w:bookmarkStart w:id="80" w:name="_Toc20691"/>
      <w:bookmarkStart w:id="81" w:name="_Toc5447"/>
      <w:r>
        <w:rPr>
          <w:rFonts w:hint="eastAsia" w:ascii="黑体" w:hAnsi="黑体" w:eastAsia="黑体" w:cs="黑体"/>
          <w:b/>
          <w:sz w:val="36"/>
          <w:szCs w:val="32"/>
        </w:rPr>
        <w:br w:type="page"/>
      </w:r>
      <w:bookmarkEnd w:id="80"/>
      <w:bookmarkEnd w:id="81"/>
    </w:p>
    <w:p w14:paraId="3321D059">
      <w:pPr>
        <w:rPr>
          <w:b/>
          <w:bCs/>
          <w:sz w:val="44"/>
          <w:szCs w:val="52"/>
        </w:rPr>
      </w:pPr>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8BC60DB-36EB-4D6A-BB3D-35AF2E4AC17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E2797A-7633-4CEF-AA4F-BC727CC1BA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BEC7005-6CEC-40B1-B540-A8BFE1174F26}"/>
  </w:font>
  <w:font w:name="仿宋">
    <w:panose1 w:val="02010609060101010101"/>
    <w:charset w:val="86"/>
    <w:family w:val="modern"/>
    <w:pitch w:val="default"/>
    <w:sig w:usb0="800002BF" w:usb1="38CF7CFA" w:usb2="00000016" w:usb3="00000000" w:csb0="00040001" w:csb1="00000000"/>
    <w:embedRegular r:id="rId4" w:fontKey="{8975424A-72DF-45CB-8025-0788A66DB5BE}"/>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5" w:fontKey="{1FAA613C-89D9-4C25-88F9-77D87D94DFC8}"/>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6"/>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5EBAB16C"/>
    <w:multiLevelType w:val="singleLevel"/>
    <w:tmpl w:val="5EBAB16C"/>
    <w:lvl w:ilvl="0" w:tentative="0">
      <w:start w:val="5"/>
      <w:numFmt w:val="chineseCounting"/>
      <w:suff w:val="space"/>
      <w:lvlText w:val="第%1章"/>
      <w:lvlJc w:val="left"/>
      <w:rPr>
        <w:rFonts w:hint="eastAsia"/>
      </w:rPr>
    </w:lvl>
  </w:abstractNum>
  <w:abstractNum w:abstractNumId="17">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8"/>
  </w:num>
  <w:num w:numId="3">
    <w:abstractNumId w:val="13"/>
  </w:num>
  <w:num w:numId="4">
    <w:abstractNumId w:val="18"/>
  </w:num>
  <w:num w:numId="5">
    <w:abstractNumId w:val="10"/>
  </w:num>
  <w:num w:numId="6">
    <w:abstractNumId w:val="15"/>
  </w:num>
  <w:num w:numId="7">
    <w:abstractNumId w:val="12"/>
  </w:num>
  <w:num w:numId="8">
    <w:abstractNumId w:val="7"/>
  </w:num>
  <w:num w:numId="9">
    <w:abstractNumId w:val="14"/>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F60E3"/>
    <w:rsid w:val="017D59D9"/>
    <w:rsid w:val="01FF1E15"/>
    <w:rsid w:val="021A6C4F"/>
    <w:rsid w:val="02E34968"/>
    <w:rsid w:val="037B73C5"/>
    <w:rsid w:val="038E0C11"/>
    <w:rsid w:val="041D546A"/>
    <w:rsid w:val="0588271A"/>
    <w:rsid w:val="058C78B0"/>
    <w:rsid w:val="05E13064"/>
    <w:rsid w:val="06043A48"/>
    <w:rsid w:val="06B15041"/>
    <w:rsid w:val="06E415DA"/>
    <w:rsid w:val="07275343"/>
    <w:rsid w:val="076444C8"/>
    <w:rsid w:val="078909F5"/>
    <w:rsid w:val="07CA7DEC"/>
    <w:rsid w:val="07E436C5"/>
    <w:rsid w:val="07FF3A37"/>
    <w:rsid w:val="08CC67C9"/>
    <w:rsid w:val="091F389C"/>
    <w:rsid w:val="093A3733"/>
    <w:rsid w:val="0A5B6C7C"/>
    <w:rsid w:val="0AD74272"/>
    <w:rsid w:val="0B223ED3"/>
    <w:rsid w:val="0B395F4B"/>
    <w:rsid w:val="0B4276FF"/>
    <w:rsid w:val="0B4508AE"/>
    <w:rsid w:val="0BF34D9F"/>
    <w:rsid w:val="0C375F99"/>
    <w:rsid w:val="0CD33899"/>
    <w:rsid w:val="0DD431BA"/>
    <w:rsid w:val="0DF04D08"/>
    <w:rsid w:val="0E0B7FF0"/>
    <w:rsid w:val="0E9A4D55"/>
    <w:rsid w:val="0EB75826"/>
    <w:rsid w:val="0F1E6969"/>
    <w:rsid w:val="0F23034D"/>
    <w:rsid w:val="0F2E7774"/>
    <w:rsid w:val="0F522C33"/>
    <w:rsid w:val="0FBF2BE4"/>
    <w:rsid w:val="10453CDC"/>
    <w:rsid w:val="111E5122"/>
    <w:rsid w:val="116752E1"/>
    <w:rsid w:val="117A5014"/>
    <w:rsid w:val="11B31C24"/>
    <w:rsid w:val="11BC3956"/>
    <w:rsid w:val="11C15BEE"/>
    <w:rsid w:val="12592B05"/>
    <w:rsid w:val="127F05A0"/>
    <w:rsid w:val="12CC371E"/>
    <w:rsid w:val="12E75E98"/>
    <w:rsid w:val="12EA1E51"/>
    <w:rsid w:val="13542C29"/>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F1147E"/>
    <w:rsid w:val="18592901"/>
    <w:rsid w:val="19847FC3"/>
    <w:rsid w:val="1994787E"/>
    <w:rsid w:val="19B32B29"/>
    <w:rsid w:val="1A586B54"/>
    <w:rsid w:val="1AEF347F"/>
    <w:rsid w:val="1B077F7A"/>
    <w:rsid w:val="1B3B2C45"/>
    <w:rsid w:val="1BC577D4"/>
    <w:rsid w:val="1C1F383F"/>
    <w:rsid w:val="1CFE43F4"/>
    <w:rsid w:val="1DD000AF"/>
    <w:rsid w:val="1E09745A"/>
    <w:rsid w:val="1E14234D"/>
    <w:rsid w:val="1E8F4CF1"/>
    <w:rsid w:val="1EEA46C4"/>
    <w:rsid w:val="1F4F7C3B"/>
    <w:rsid w:val="1F920200"/>
    <w:rsid w:val="1F923E71"/>
    <w:rsid w:val="1FE50445"/>
    <w:rsid w:val="20D97009"/>
    <w:rsid w:val="210C2FB0"/>
    <w:rsid w:val="2173335D"/>
    <w:rsid w:val="22560B73"/>
    <w:rsid w:val="22691158"/>
    <w:rsid w:val="22C02AA3"/>
    <w:rsid w:val="22FD7853"/>
    <w:rsid w:val="231F6890"/>
    <w:rsid w:val="23791F56"/>
    <w:rsid w:val="250334A1"/>
    <w:rsid w:val="257858B7"/>
    <w:rsid w:val="25BD312B"/>
    <w:rsid w:val="262C2FF8"/>
    <w:rsid w:val="26614BE2"/>
    <w:rsid w:val="26A655F4"/>
    <w:rsid w:val="270C275B"/>
    <w:rsid w:val="28FF2906"/>
    <w:rsid w:val="29502FD4"/>
    <w:rsid w:val="298E56A9"/>
    <w:rsid w:val="29A078DB"/>
    <w:rsid w:val="29AD3C82"/>
    <w:rsid w:val="29C5318E"/>
    <w:rsid w:val="29D11A3A"/>
    <w:rsid w:val="29E1357F"/>
    <w:rsid w:val="2A3335F4"/>
    <w:rsid w:val="2AAD33E1"/>
    <w:rsid w:val="2AE409B4"/>
    <w:rsid w:val="2AEF232A"/>
    <w:rsid w:val="2AF54989"/>
    <w:rsid w:val="2B7A1DE5"/>
    <w:rsid w:val="2C9A0A9E"/>
    <w:rsid w:val="2CC93AF1"/>
    <w:rsid w:val="2CCB09C2"/>
    <w:rsid w:val="2CE356C1"/>
    <w:rsid w:val="2CE462F8"/>
    <w:rsid w:val="2DA70D65"/>
    <w:rsid w:val="2DCB2E2D"/>
    <w:rsid w:val="2E8822E7"/>
    <w:rsid w:val="2F966F61"/>
    <w:rsid w:val="305F1EED"/>
    <w:rsid w:val="31F51A59"/>
    <w:rsid w:val="32724DD0"/>
    <w:rsid w:val="32CE4379"/>
    <w:rsid w:val="33C24ADF"/>
    <w:rsid w:val="343706EB"/>
    <w:rsid w:val="34496B55"/>
    <w:rsid w:val="34D80120"/>
    <w:rsid w:val="351A08D0"/>
    <w:rsid w:val="357519FC"/>
    <w:rsid w:val="35A61797"/>
    <w:rsid w:val="35D03474"/>
    <w:rsid w:val="35D74205"/>
    <w:rsid w:val="367D6EF4"/>
    <w:rsid w:val="371B4964"/>
    <w:rsid w:val="37BF3B20"/>
    <w:rsid w:val="380B5401"/>
    <w:rsid w:val="38323B02"/>
    <w:rsid w:val="38AE5E8C"/>
    <w:rsid w:val="38CA43C7"/>
    <w:rsid w:val="39A405D1"/>
    <w:rsid w:val="39B34CB8"/>
    <w:rsid w:val="3A335BDD"/>
    <w:rsid w:val="3A900FE8"/>
    <w:rsid w:val="3AF76D4D"/>
    <w:rsid w:val="3B4402BD"/>
    <w:rsid w:val="3B4E7DFC"/>
    <w:rsid w:val="3C1C42E1"/>
    <w:rsid w:val="3C5B170F"/>
    <w:rsid w:val="3D375AA1"/>
    <w:rsid w:val="3D931F15"/>
    <w:rsid w:val="3DB777F7"/>
    <w:rsid w:val="3EA40469"/>
    <w:rsid w:val="3F762A0F"/>
    <w:rsid w:val="3FA84948"/>
    <w:rsid w:val="3FE34CD0"/>
    <w:rsid w:val="3FE47979"/>
    <w:rsid w:val="40B05AAD"/>
    <w:rsid w:val="41600431"/>
    <w:rsid w:val="42075FF8"/>
    <w:rsid w:val="42E77C3D"/>
    <w:rsid w:val="43B7159B"/>
    <w:rsid w:val="46271B24"/>
    <w:rsid w:val="465D0053"/>
    <w:rsid w:val="468567BB"/>
    <w:rsid w:val="4782487D"/>
    <w:rsid w:val="483002E2"/>
    <w:rsid w:val="4879128B"/>
    <w:rsid w:val="48C634C3"/>
    <w:rsid w:val="48D62926"/>
    <w:rsid w:val="491D6C8D"/>
    <w:rsid w:val="49344560"/>
    <w:rsid w:val="495751DE"/>
    <w:rsid w:val="49C6776A"/>
    <w:rsid w:val="4A161077"/>
    <w:rsid w:val="4AB820A2"/>
    <w:rsid w:val="4AD11442"/>
    <w:rsid w:val="4B4F618D"/>
    <w:rsid w:val="4BAD0151"/>
    <w:rsid w:val="4C8F75A2"/>
    <w:rsid w:val="4CB701C3"/>
    <w:rsid w:val="4DDF0D91"/>
    <w:rsid w:val="4E59452C"/>
    <w:rsid w:val="4E7B4035"/>
    <w:rsid w:val="4E8C008E"/>
    <w:rsid w:val="4FD14828"/>
    <w:rsid w:val="503A5393"/>
    <w:rsid w:val="506A72A7"/>
    <w:rsid w:val="50771A9C"/>
    <w:rsid w:val="50F56550"/>
    <w:rsid w:val="52EC23F5"/>
    <w:rsid w:val="532C5467"/>
    <w:rsid w:val="53706852"/>
    <w:rsid w:val="53854CE8"/>
    <w:rsid w:val="53BF0A7B"/>
    <w:rsid w:val="5455382C"/>
    <w:rsid w:val="545E542E"/>
    <w:rsid w:val="566B5FD6"/>
    <w:rsid w:val="568C0876"/>
    <w:rsid w:val="56A53892"/>
    <w:rsid w:val="5728175E"/>
    <w:rsid w:val="572D64B0"/>
    <w:rsid w:val="5734171E"/>
    <w:rsid w:val="57B976AF"/>
    <w:rsid w:val="57C512E5"/>
    <w:rsid w:val="580B5743"/>
    <w:rsid w:val="586B0701"/>
    <w:rsid w:val="589A5F8E"/>
    <w:rsid w:val="58AB32D2"/>
    <w:rsid w:val="58BD4DB3"/>
    <w:rsid w:val="595971E7"/>
    <w:rsid w:val="59710D46"/>
    <w:rsid w:val="59CC068D"/>
    <w:rsid w:val="5A6223A5"/>
    <w:rsid w:val="5B243E89"/>
    <w:rsid w:val="5B5A4B3C"/>
    <w:rsid w:val="5B800F26"/>
    <w:rsid w:val="5C124930"/>
    <w:rsid w:val="5C471564"/>
    <w:rsid w:val="5C4A7838"/>
    <w:rsid w:val="5C9A22F9"/>
    <w:rsid w:val="5DBF13D4"/>
    <w:rsid w:val="5E40270F"/>
    <w:rsid w:val="5E543889"/>
    <w:rsid w:val="5EB9456E"/>
    <w:rsid w:val="5EFC3EB9"/>
    <w:rsid w:val="5F796A42"/>
    <w:rsid w:val="60605BAC"/>
    <w:rsid w:val="60C53B7A"/>
    <w:rsid w:val="60D92922"/>
    <w:rsid w:val="60DE30BD"/>
    <w:rsid w:val="60E308E3"/>
    <w:rsid w:val="62330506"/>
    <w:rsid w:val="62AB1B1D"/>
    <w:rsid w:val="62C51434"/>
    <w:rsid w:val="632E2511"/>
    <w:rsid w:val="63553057"/>
    <w:rsid w:val="63846BFA"/>
    <w:rsid w:val="63A9427A"/>
    <w:rsid w:val="63AB062A"/>
    <w:rsid w:val="63D462B1"/>
    <w:rsid w:val="641A3596"/>
    <w:rsid w:val="647C6435"/>
    <w:rsid w:val="65770634"/>
    <w:rsid w:val="65842EE1"/>
    <w:rsid w:val="65956E9C"/>
    <w:rsid w:val="65E40ADA"/>
    <w:rsid w:val="663012BB"/>
    <w:rsid w:val="66330B86"/>
    <w:rsid w:val="66422221"/>
    <w:rsid w:val="664803B2"/>
    <w:rsid w:val="66A70F60"/>
    <w:rsid w:val="66E22203"/>
    <w:rsid w:val="66E87583"/>
    <w:rsid w:val="67133952"/>
    <w:rsid w:val="67330CCC"/>
    <w:rsid w:val="67C95196"/>
    <w:rsid w:val="68B101CC"/>
    <w:rsid w:val="690C2243"/>
    <w:rsid w:val="699833FF"/>
    <w:rsid w:val="699B2EEF"/>
    <w:rsid w:val="69A7257C"/>
    <w:rsid w:val="69D50CF4"/>
    <w:rsid w:val="69DD3507"/>
    <w:rsid w:val="6AA97CAB"/>
    <w:rsid w:val="6AD401BA"/>
    <w:rsid w:val="6C127701"/>
    <w:rsid w:val="6C487AFD"/>
    <w:rsid w:val="6CB24363"/>
    <w:rsid w:val="6CE24B47"/>
    <w:rsid w:val="6DA52693"/>
    <w:rsid w:val="6DE728CA"/>
    <w:rsid w:val="6E5B2C4D"/>
    <w:rsid w:val="6EF3566B"/>
    <w:rsid w:val="6F9B5CDF"/>
    <w:rsid w:val="6FA23F69"/>
    <w:rsid w:val="6FA61EDA"/>
    <w:rsid w:val="6FCF0795"/>
    <w:rsid w:val="70076B11"/>
    <w:rsid w:val="70480305"/>
    <w:rsid w:val="70E60EF4"/>
    <w:rsid w:val="71104836"/>
    <w:rsid w:val="71646B2B"/>
    <w:rsid w:val="71B12785"/>
    <w:rsid w:val="71CB7ED7"/>
    <w:rsid w:val="71E250B7"/>
    <w:rsid w:val="72D75444"/>
    <w:rsid w:val="72ED1754"/>
    <w:rsid w:val="73634FBB"/>
    <w:rsid w:val="74054476"/>
    <w:rsid w:val="741C016E"/>
    <w:rsid w:val="743E1047"/>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A28257D"/>
    <w:rsid w:val="7AB631AF"/>
    <w:rsid w:val="7B550DA5"/>
    <w:rsid w:val="7B5F74F8"/>
    <w:rsid w:val="7B690630"/>
    <w:rsid w:val="7B975062"/>
    <w:rsid w:val="7BA4104A"/>
    <w:rsid w:val="7BB6153E"/>
    <w:rsid w:val="7CE74C9B"/>
    <w:rsid w:val="7CF47CCC"/>
    <w:rsid w:val="7D040AB6"/>
    <w:rsid w:val="7D4119E6"/>
    <w:rsid w:val="7DBE2B71"/>
    <w:rsid w:val="7E2E0BED"/>
    <w:rsid w:val="7E8C541C"/>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basedOn w:val="1"/>
    <w:next w:val="1"/>
    <w:link w:val="44"/>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leftChars="1400" w:right="320"/>
    </w:pPr>
  </w:style>
  <w:style w:type="paragraph" w:styleId="6">
    <w:name w:val="Normal Indent"/>
    <w:basedOn w:val="1"/>
    <w:next w:val="1"/>
    <w:qFormat/>
    <w:uiPriority w:val="0"/>
    <w:pPr>
      <w:ind w:firstLine="420" w:firstLineChars="200"/>
    </w:pPr>
    <w:rPr>
      <w:kern w:val="0"/>
      <w:sz w:val="24"/>
      <w:szCs w:val="20"/>
    </w:rPr>
  </w:style>
  <w:style w:type="paragraph" w:styleId="7">
    <w:name w:val="toa heading"/>
    <w:basedOn w:val="1"/>
    <w:next w:val="1"/>
    <w:unhideWhenUsed/>
    <w:qFormat/>
    <w:uiPriority w:val="99"/>
    <w:pPr>
      <w:spacing w:before="120"/>
    </w:pPr>
    <w:rPr>
      <w:rFonts w:asciiTheme="majorHAnsi" w:hAnsiTheme="majorHAnsi" w:eastAsiaTheme="majorEastAsia" w:cstheme="majorBidi"/>
    </w:rPr>
  </w:style>
  <w:style w:type="paragraph" w:styleId="8">
    <w:name w:val="annotation text"/>
    <w:basedOn w:val="1"/>
    <w:link w:val="41"/>
    <w:qFormat/>
    <w:uiPriority w:val="0"/>
    <w:pPr>
      <w:jc w:val="left"/>
    </w:pPr>
  </w:style>
  <w:style w:type="paragraph" w:styleId="9">
    <w:name w:val="Body Text 3"/>
    <w:basedOn w:val="1"/>
    <w:unhideWhenUsed/>
    <w:qFormat/>
    <w:uiPriority w:val="0"/>
    <w:pPr>
      <w:spacing w:after="120"/>
    </w:pPr>
    <w:rPr>
      <w:sz w:val="16"/>
      <w:szCs w:val="16"/>
    </w:rPr>
  </w:style>
  <w:style w:type="paragraph" w:styleId="10">
    <w:name w:val="Body Text"/>
    <w:basedOn w:val="1"/>
    <w:next w:val="1"/>
    <w:qFormat/>
    <w:uiPriority w:val="0"/>
    <w:pPr>
      <w:spacing w:after="120"/>
    </w:pPr>
  </w:style>
  <w:style w:type="paragraph" w:styleId="11">
    <w:name w:val="Body Text Indent"/>
    <w:basedOn w:val="1"/>
    <w:unhideWhenUsed/>
    <w:qFormat/>
    <w:uiPriority w:val="99"/>
    <w:pPr>
      <w:ind w:firstLine="630"/>
    </w:pPr>
    <w:rPr>
      <w:rFonts w:ascii="Calibri"/>
      <w:sz w:val="32"/>
      <w:szCs w:val="20"/>
    </w:rPr>
  </w:style>
  <w:style w:type="paragraph" w:styleId="12">
    <w:name w:val="Body Text Indent 2"/>
    <w:basedOn w:val="1"/>
    <w:link w:val="36"/>
    <w:qFormat/>
    <w:uiPriority w:val="0"/>
    <w:pPr>
      <w:spacing w:after="120" w:line="480" w:lineRule="auto"/>
      <w:ind w:left="420" w:leftChars="200"/>
    </w:pPr>
    <w:rPr>
      <w:szCs w:val="20"/>
    </w:rPr>
  </w:style>
  <w:style w:type="paragraph" w:styleId="13">
    <w:name w:val="Balloon Text"/>
    <w:basedOn w:val="1"/>
    <w:link w:val="43"/>
    <w:qFormat/>
    <w:uiPriority w:val="0"/>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rPr>
      <w:rFonts w:ascii="Arial" w:hAnsi="Arial"/>
    </w:rPr>
  </w:style>
  <w:style w:type="paragraph" w:styleId="16">
    <w:name w:val="header"/>
    <w:basedOn w:val="1"/>
    <w:next w:val="10"/>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2"/>
    <w:basedOn w:val="1"/>
    <w:unhideWhenUsed/>
    <w:qFormat/>
    <w:uiPriority w:val="99"/>
    <w:pPr>
      <w:widowControl/>
      <w:spacing w:after="120" w:line="480" w:lineRule="auto"/>
    </w:pPr>
  </w:style>
  <w:style w:type="paragraph" w:styleId="19">
    <w:name w:val="annotation subject"/>
    <w:basedOn w:val="8"/>
    <w:next w:val="8"/>
    <w:link w:val="42"/>
    <w:qFormat/>
    <w:uiPriority w:val="0"/>
    <w:rPr>
      <w:b/>
      <w:bCs/>
    </w:rPr>
  </w:style>
  <w:style w:type="paragraph" w:styleId="20">
    <w:name w:val="Body Text First Indent"/>
    <w:basedOn w:val="10"/>
    <w:link w:val="37"/>
    <w:qFormat/>
    <w:uiPriority w:val="0"/>
    <w:pPr>
      <w:snapToGrid w:val="0"/>
      <w:spacing w:before="40" w:after="40" w:line="288" w:lineRule="auto"/>
      <w:ind w:firstLine="482"/>
    </w:pPr>
    <w:rPr>
      <w:rFonts w:ascii="仿宋_GB2312" w:hAnsi="仿宋_GB2312" w:eastAsia="仿宋_GB2312"/>
      <w:szCs w:val="20"/>
    </w:rPr>
  </w:style>
  <w:style w:type="paragraph" w:styleId="21">
    <w:name w:val="Body Text First Indent 2"/>
    <w:basedOn w:val="11"/>
    <w:next w:val="1"/>
    <w:link w:val="40"/>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大标题"/>
    <w:basedOn w:val="1"/>
    <w:next w:val="21"/>
    <w:qFormat/>
    <w:uiPriority w:val="0"/>
    <w:pPr>
      <w:jc w:val="center"/>
    </w:pPr>
    <w:rPr>
      <w:rFonts w:ascii="Arial" w:hAnsi="Arial" w:eastAsia="宋体"/>
      <w:b/>
      <w:sz w:val="28"/>
      <w:szCs w:val="24"/>
    </w:rPr>
  </w:style>
  <w:style w:type="paragraph" w:customStyle="1" w:styleId="29">
    <w:name w:val="标题 5（有编号）（绿盟科技）"/>
    <w:basedOn w:val="30"/>
    <w:next w:val="3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13、表格内居中正文"/>
    <w:basedOn w:val="1"/>
    <w:qFormat/>
    <w:uiPriority w:val="0"/>
    <w:pPr>
      <w:wordWrap w:val="0"/>
      <w:topLinePunct/>
      <w:spacing w:line="360" w:lineRule="exact"/>
      <w:jc w:val="center"/>
    </w:pPr>
    <w:rPr>
      <w:rFonts w:ascii="宋体" w:hAnsi="宋体" w:eastAsia="宋体"/>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4">
    <w:name w:val="List Paragraph"/>
    <w:basedOn w:val="1"/>
    <w:qFormat/>
    <w:uiPriority w:val="0"/>
    <w:pPr>
      <w:spacing w:line="500" w:lineRule="exact"/>
      <w:ind w:firstLine="420" w:firstLineChars="200"/>
    </w:pPr>
    <w:rPr>
      <w:szCs w:val="24"/>
    </w:rPr>
  </w:style>
  <w:style w:type="paragraph" w:customStyle="1" w:styleId="35">
    <w:name w:val="正文首行缩进两字符"/>
    <w:basedOn w:val="1"/>
    <w:qFormat/>
    <w:uiPriority w:val="0"/>
    <w:pPr>
      <w:spacing w:line="360" w:lineRule="auto"/>
      <w:ind w:firstLine="200" w:firstLineChars="200"/>
    </w:pPr>
  </w:style>
  <w:style w:type="character" w:customStyle="1" w:styleId="36">
    <w:name w:val="正文文本缩进 2 字符"/>
    <w:link w:val="12"/>
    <w:qFormat/>
    <w:uiPriority w:val="0"/>
    <w:rPr>
      <w:szCs w:val="20"/>
    </w:rPr>
  </w:style>
  <w:style w:type="character" w:customStyle="1" w:styleId="37">
    <w:name w:val="正文首行缩进 字符"/>
    <w:link w:val="20"/>
    <w:qFormat/>
    <w:uiPriority w:val="0"/>
    <w:rPr>
      <w:rFonts w:ascii="仿宋_GB2312" w:hAnsi="仿宋_GB2312" w:eastAsia="仿宋_GB2312"/>
      <w:szCs w:val="20"/>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9">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40">
    <w:name w:val="正文首行缩进 2 字符"/>
    <w:link w:val="21"/>
    <w:qFormat/>
    <w:uiPriority w:val="99"/>
    <w:rPr>
      <w:rFonts w:ascii="宋体" w:hAnsi="Times New Roman"/>
      <w:kern w:val="0"/>
      <w:sz w:val="21"/>
      <w:szCs w:val="24"/>
    </w:rPr>
  </w:style>
  <w:style w:type="character" w:customStyle="1" w:styleId="41">
    <w:name w:val="批注文字 字符"/>
    <w:basedOn w:val="24"/>
    <w:link w:val="8"/>
    <w:qFormat/>
    <w:uiPriority w:val="0"/>
    <w:rPr>
      <w:kern w:val="2"/>
      <w:sz w:val="21"/>
      <w:szCs w:val="22"/>
    </w:rPr>
  </w:style>
  <w:style w:type="character" w:customStyle="1" w:styleId="42">
    <w:name w:val="批注主题 字符"/>
    <w:basedOn w:val="41"/>
    <w:link w:val="19"/>
    <w:qFormat/>
    <w:uiPriority w:val="0"/>
    <w:rPr>
      <w:b/>
      <w:bCs/>
      <w:kern w:val="2"/>
      <w:sz w:val="21"/>
      <w:szCs w:val="22"/>
    </w:rPr>
  </w:style>
  <w:style w:type="character" w:customStyle="1" w:styleId="43">
    <w:name w:val="批注框文本 字符"/>
    <w:basedOn w:val="24"/>
    <w:link w:val="13"/>
    <w:qFormat/>
    <w:uiPriority w:val="0"/>
    <w:rPr>
      <w:kern w:val="2"/>
      <w:sz w:val="18"/>
      <w:szCs w:val="18"/>
    </w:rPr>
  </w:style>
  <w:style w:type="character" w:customStyle="1" w:styleId="44">
    <w:name w:val="标题 2 字符"/>
    <w:link w:val="3"/>
    <w:qFormat/>
    <w:uiPriority w:val="0"/>
    <w:rPr>
      <w:rFonts w:ascii="Times New Roman" w:hAnsi="Times New Roman" w:eastAsia="仿宋" w:cs="Times New Roman"/>
      <w:b/>
      <w:sz w:val="32"/>
    </w:rPr>
  </w:style>
  <w:style w:type="paragraph" w:customStyle="1" w:styleId="45">
    <w:name w:val="_Style 2"/>
    <w:basedOn w:val="1"/>
    <w:qFormat/>
    <w:uiPriority w:val="0"/>
    <w:pPr>
      <w:ind w:firstLine="420" w:firstLineChars="200"/>
    </w:pPr>
    <w:rPr>
      <w:sz w:val="18"/>
      <w:szCs w:val="18"/>
    </w:rPr>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列出段落1"/>
    <w:basedOn w:val="1"/>
    <w:qFormat/>
    <w:uiPriority w:val="0"/>
    <w:pPr>
      <w:ind w:firstLine="420" w:firstLineChars="200"/>
    </w:pPr>
    <w:rPr>
      <w:rFonts w:ascii="Times New Roman" w:hAnsi="Times New Roman" w:eastAsia="宋体" w:cs="Times New Roman"/>
      <w:szCs w:val="20"/>
    </w:rPr>
  </w:style>
  <w:style w:type="character" w:customStyle="1" w:styleId="48">
    <w:name w:val="页脚 字符"/>
    <w:basedOn w:val="24"/>
    <w:link w:val="14"/>
    <w:qFormat/>
    <w:uiPriority w:val="99"/>
    <w:rPr>
      <w:rFonts w:asciiTheme="minorHAnsi" w:hAnsiTheme="minorHAnsi" w:eastAsiaTheme="minorEastAsia" w:cstheme="minorBidi"/>
      <w:kern w:val="2"/>
      <w:sz w:val="18"/>
      <w:szCs w:val="18"/>
    </w:rPr>
  </w:style>
  <w:style w:type="character" w:customStyle="1" w:styleId="49">
    <w:name w:val="页眉 字符"/>
    <w:basedOn w:val="24"/>
    <w:link w:val="16"/>
    <w:qFormat/>
    <w:uiPriority w:val="99"/>
    <w:rPr>
      <w:rFonts w:asciiTheme="minorHAnsi" w:hAnsiTheme="minorHAnsi" w:eastAsiaTheme="minorEastAsia" w:cstheme="minorBidi"/>
      <w:kern w:val="2"/>
      <w:sz w:val="18"/>
      <w:szCs w:val="18"/>
    </w:rPr>
  </w:style>
  <w:style w:type="paragraph" w:customStyle="1" w:styleId="50">
    <w:name w:val="列表段落1"/>
    <w:basedOn w:val="1"/>
    <w:autoRedefine/>
    <w:qFormat/>
    <w:uiPriority w:val="34"/>
    <w:pPr>
      <w:ind w:firstLine="420" w:firstLineChars="200"/>
    </w:pPr>
  </w:style>
  <w:style w:type="paragraph" w:customStyle="1" w:styleId="51">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2">
    <w:name w:val="正文空2字"/>
    <w:basedOn w:val="18"/>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5">
    <w:name w:val="null3"/>
    <w:qFormat/>
    <w:uiPriority w:val="0"/>
    <w:rPr>
      <w:rFonts w:hint="eastAsia" w:ascii="Calibri" w:hAnsi="Calibri" w:eastAsia="宋体" w:cs="Times New Roman"/>
      <w:lang w:val="en-US" w:eastAsia="zh-Hans" w:bidi="ar-SA"/>
    </w:rPr>
  </w:style>
  <w:style w:type="paragraph" w:customStyle="1" w:styleId="56">
    <w:name w:val="标书_表格正文"/>
    <w:autoRedefine/>
    <w:qFormat/>
    <w:uiPriority w:val="0"/>
    <w:rPr>
      <w:rFonts w:ascii="宋体" w:hAnsi="宋体" w:eastAsia="宋体" w:cstheme="minorBidi"/>
      <w:kern w:val="2"/>
      <w:sz w:val="21"/>
      <w:szCs w:val="21"/>
      <w:lang w:val="en-US" w:eastAsia="zh-CN" w:bidi="ar-SA"/>
    </w:rPr>
  </w:style>
  <w:style w:type="character" w:customStyle="1" w:styleId="57">
    <w:name w:val="font11"/>
    <w:basedOn w:val="2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30</Pages>
  <Words>4814</Words>
  <Characters>4921</Characters>
  <Lines>60</Lines>
  <Paragraphs>16</Paragraphs>
  <TotalTime>0</TotalTime>
  <ScaleCrop>false</ScaleCrop>
  <LinksUpToDate>false</LinksUpToDate>
  <CharactersWithSpaces>5013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2026-03-25T06:10:41Z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0D52640C0A224946809EE62587873B4B_13</vt:lpwstr>
  </property>
  <property fmtid="{D5CDD505-2E9C-101B-9397-08002B2CF9AE}" pid="4" name="KSOTemplateDocerSaveRecord">
    <vt:lpwstr>eyJoZGlkIjoiMGVhNTY2M2EwZDMyZTE0NTZiN2UxNDUzN2E2YmY2OTIiLCJ1c2VySWQiOiI2NzcyOTQ5MDQifQ==</vt:lpwstr>
  </property>
</Properties>
</file>