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比选（2026）028号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外周刻痕药物球囊扩张导管</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外周刻痕药物球囊扩张导管</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比选（2026）028号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4"/>
          <w:szCs w:val="24"/>
          <w:u w:val="none"/>
          <w:lang w:val="en-US" w:eastAsia="zh-CN"/>
        </w:rPr>
        <w:t>用于血液透析通路的经皮腔内血管成形术，自体或人工动静脉透析通路狭窄病变的PTA术治疗。</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肾病内科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外周刻痕药物球囊扩张导管</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7C578E1C">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血液透析通路的经皮腔内血管成形术，自体或人工动静脉透析通路狭窄病变的PTA术治疗。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BFF0DF7-16F9-4E27-86A2-8CE6A60551C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910C450-E92F-4148-8D50-F28463749D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ACCF851-F684-4496-90A3-74EA8938656C}"/>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4BFD46FA-71F5-41E0-8DCE-1D4689BAD1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4E8105C"/>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2026-03-19T08:01:42Z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C6699D60C2FB463CBD883E79DB8DBFCF_13</vt:lpwstr>
  </property>
  <property fmtid="{D5CDD505-2E9C-101B-9397-08002B2CF9AE}" pid="4" name="KSOTemplateDocerSaveRecord">
    <vt:lpwstr>eyJoZGlkIjoiOTY0MTYyZGU5ZmIzZmJlNzA3MTRhNGMzYWI5NjIwN2MiLCJ1c2VySWQiOiIzMTQ2NjUyOTIifQ==</vt:lpwstr>
  </property>
</Properties>
</file>