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比选（2026）024号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可吸收高分子组织密封膜</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可吸收高分子组织密封膜</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left="210" w:leftChars="100" w:firstLine="1980" w:firstLineChars="900"/>
              <w:rPr>
                <w:rFonts w:hint="eastAsia" w:ascii="仿宋" w:hAnsi="仿宋" w:cs="仿宋" w:eastAsiaTheme="minorEastAsia"/>
                <w:sz w:val="22"/>
                <w:lang w:eastAsia="zh-CN"/>
              </w:rPr>
            </w:pPr>
            <w:r>
              <w:rPr>
                <w:rFonts w:hint="eastAsia" w:ascii="仿宋" w:hAnsi="仿宋" w:eastAsia="仿宋" w:cs="仿宋"/>
                <w:sz w:val="22"/>
                <w:lang w:eastAsia="zh-CN"/>
              </w:rPr>
              <w:t xml:space="preserve"> MYCH 比选（2026）024号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4"/>
          <w:szCs w:val="24"/>
          <w:u w:val="none"/>
          <w:lang w:val="en-US" w:eastAsia="zh-CN"/>
        </w:rPr>
        <w:t>用于神经外科脑脊液漏手术中对组织的密封和/或加强。</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神经外科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可吸收高分子组织密封膜</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47AFB12E">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1、用于神经外科脑脊液漏手术中对组织的密封和/或加强。2、四川省《药品和医用耗材招采管理系统》价格联动挂网专区挂网的产品；3、可计费材料医保码在四川省医保局可查询；4、需提供样品。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3094"/>
      <w:bookmarkStart w:id="12" w:name="_Toc22827"/>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19851"/>
      <w:bookmarkStart w:id="17" w:name="_Toc9428"/>
      <w:bookmarkStart w:id="18" w:name="_Toc30609"/>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19987"/>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31838"/>
      <w:bookmarkStart w:id="48" w:name="_Toc22676"/>
      <w:bookmarkStart w:id="49" w:name="_Toc4305"/>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7661"/>
      <w:bookmarkStart w:id="60" w:name="_Toc11351"/>
      <w:bookmarkStart w:id="61" w:name="_Toc25638"/>
      <w:bookmarkStart w:id="62" w:name="_Toc20589"/>
      <w:bookmarkStart w:id="63" w:name="_Toc15526"/>
      <w:bookmarkStart w:id="64" w:name="_Toc12015"/>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041"/>
      <w:bookmarkStart w:id="66" w:name="_Toc16435"/>
      <w:bookmarkStart w:id="67" w:name="_Toc12967"/>
      <w:bookmarkStart w:id="68" w:name="_Toc1074"/>
      <w:bookmarkStart w:id="69" w:name="_Toc26969"/>
      <w:bookmarkStart w:id="70" w:name="_Toc23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8F42C23-E2B0-4FF4-BF4C-B6F6182D432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1C968E3-06D8-4705-A939-9A3A5BE145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5A94880B-237B-404A-B26F-F2DC19ABFE21}"/>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ACD3DF46-298C-4817-ABA2-B2656C3781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D9613D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771107"/>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1313</Words>
  <Characters>1390</Characters>
  <Lines>68</Lines>
  <Paragraphs>19</Paragraphs>
  <TotalTime>0</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2026-03-19T02:45:16Z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9C5290D291F44081A6BBAF6EF04CA499_13</vt:lpwstr>
  </property>
  <property fmtid="{D5CDD505-2E9C-101B-9397-08002B2CF9AE}" pid="4" name="KSOTemplateDocerSaveRecord">
    <vt:lpwstr>eyJoZGlkIjoiOTY0MTYyZGU5ZmIzZmJlNzA3MTRhNGMzYWI5NjIwN2MiLCJ1c2VySWQiOiIzMTQ2NjUyOTIifQ==</vt:lpwstr>
  </property>
</Properties>
</file>