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一次性使用无菌注射针</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一次性使用无菌注射针</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比选（2026）023号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rPr>
        <w:t>配套电子注射器使用，用于面部真皮层注射透明质酸钠。</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烧伤整形外科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一次性使用无菌注射针</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配套北京敬智电子注射器，型号：Panace-DS-30使用，用于面部真皮层注射透明质酸钠。2、四川省《药品和医用耗材招采管理系统》价格联动挂网专区挂网的产品；3、可计费材料医保码在四川省医保局可查询；4、需提供样品。5、医保代码前10位：C160301032。</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BC2E531-5C25-4490-B229-D6B1EEFAEF0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0445213-5129-4F08-A30D-E7DB161FC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3C50204-0A63-469D-A2C9-8F669E82AF6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705C907-223F-439F-8106-B3CC825E75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2026-03-19T02:43:01Z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7289783B31E04BDE942F2AF497C87FE4_13</vt:lpwstr>
  </property>
  <property fmtid="{D5CDD505-2E9C-101B-9397-08002B2CF9AE}" pid="4" name="KSOTemplateDocerSaveRecord">
    <vt:lpwstr>eyJoZGlkIjoiOTY0MTYyZGU5ZmIzZmJlNzA3MTRhNGMzYWI5NjIwN2MiLCJ1c2VySWQiOiIzMTQ2NjUyOTIifQ==</vt:lpwstr>
  </property>
</Properties>
</file>