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1号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rPr>
        <w:t>火灾报警系统工程</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4"/>
        <w:tabs>
          <w:tab w:val="right" w:leader="dot" w:pos="8299"/>
        </w:tabs>
        <w:rPr>
          <w:rFonts w:ascii="仿宋" w:hAnsi="仿宋" w:eastAsia="仿宋" w:cs="仿宋"/>
          <w:sz w:val="28"/>
          <w:szCs w:val="28"/>
        </w:rPr>
      </w:pPr>
    </w:p>
    <w:p w14:paraId="3DBCA98C">
      <w:pPr>
        <w:pStyle w:val="13"/>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火灾报警系统工程</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1号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98.3万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2"/>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2"/>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2"/>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bookmarkStart w:id="86" w:name="_GoBack"/>
            <w:bookmarkEnd w:id="86"/>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A8"/>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FE"/>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中标价5%</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绵阳市中心医院</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default" w:ascii="仿宋" w:hAnsi="仿宋" w:eastAsia="仿宋" w:cs="仿宋"/>
                <w:sz w:val="22"/>
                <w:szCs w:val="22"/>
                <w:lang w:val="en-US" w:eastAsia="zh-CN"/>
              </w:rPr>
              <w:t>建行绵阳分行涪城支行</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51001657737050116238</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FE"/>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电话及短信另行通知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default"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安全保卫科</w:t>
            </w:r>
          </w:p>
          <w:p w14:paraId="4CB4263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13689689304</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3"/>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3"/>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r>
              <w:rPr>
                <w:rFonts w:hint="eastAsia" w:ascii="仿宋" w:hAnsi="仿宋" w:eastAsia="仿宋" w:cs="仿宋"/>
                <w:sz w:val="22"/>
                <w:lang w:val="en-US" w:eastAsia="zh-CN"/>
              </w:rPr>
              <w:t>消防设施工程专业承包二级</w:t>
            </w:r>
            <w:r>
              <w:rPr>
                <w:rFonts w:hint="default" w:ascii="仿宋" w:hAnsi="仿宋" w:eastAsia="仿宋" w:cs="仿宋"/>
                <w:sz w:val="22"/>
                <w:lang w:val="en-US" w:eastAsia="zh-CN"/>
              </w:rPr>
              <w:t>及以上资质</w:t>
            </w: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3"/>
        <w:numPr>
          <w:ilvl w:val="0"/>
          <w:numId w:val="0"/>
        </w:numPr>
        <w:ind w:left="402"/>
      </w:pPr>
      <w:bookmarkStart w:id="7" w:name="_Toc3988"/>
      <w:bookmarkStart w:id="8" w:name="_Toc12668"/>
      <w:bookmarkStart w:id="9" w:name="_Toc12193"/>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00FEC5B9">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为加强医院消防安全防范能力，经后勤保障科、信息中心申请需在医院配电室、发电机房及科信楼电池间增设七氟丙烷气体灭火系统、自动报警系统、通风系统等，降低火灾风险，保障相关设备安全。</w:t>
      </w:r>
    </w:p>
    <w:p w14:paraId="582646DE">
      <w:pPr>
        <w:pStyle w:val="2"/>
        <w:rPr>
          <w:rFonts w:hint="eastAsia"/>
          <w:lang w:val="en-US" w:eastAsia="zh-CN"/>
        </w:rPr>
      </w:pP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2ABEE6B1">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1.工程地点：</w:t>
      </w:r>
    </w:p>
    <w:p w14:paraId="56847425">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总配配电室2处：低压配电室、高压配电室。</w:t>
      </w:r>
    </w:p>
    <w:p w14:paraId="62343B4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紫荆楼2处：地下配电室、发电机房。</w:t>
      </w:r>
    </w:p>
    <w:p w14:paraId="4D1D33B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门诊楼2处：配电室、发电机房。</w:t>
      </w:r>
    </w:p>
    <w:p w14:paraId="60D733A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第二住院楼1处：发电机房。</w:t>
      </w:r>
    </w:p>
    <w:p w14:paraId="7B638CE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第一住院楼4处：配电室、储油间、高压配电室、发电机房。</w:t>
      </w:r>
    </w:p>
    <w:p w14:paraId="602C7747">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科信楼1处：UPS电池间。</w:t>
      </w:r>
    </w:p>
    <w:p w14:paraId="0E5273B8">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2.建设内容:</w:t>
      </w:r>
    </w:p>
    <w:p w14:paraId="34DF5AA6">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气体灭火控制器、七氟丙烷柜式无管网气体灭火系统、防火门监控系统、通风系统等。</w:t>
      </w:r>
    </w:p>
    <w:p w14:paraId="6F7F06C5">
      <w:pPr>
        <w:pStyle w:val="47"/>
        <w:spacing w:line="360" w:lineRule="auto"/>
        <w:ind w:left="0" w:leftChars="0" w:firstLine="0"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3.本项目按照设计图纸的设计说明、施工说明及其相关要求标准和本项目工程量清单的所有内容和现场踏勘了解施工环境方面的需求。</w:t>
      </w:r>
    </w:p>
    <w:p w14:paraId="2C70A4A6">
      <w:pPr>
        <w:pStyle w:val="47"/>
        <w:spacing w:line="360" w:lineRule="auto"/>
        <w:ind w:left="0" w:leftChars="0" w:firstLine="0" w:firstLineChars="0"/>
        <w:rPr>
          <w:rFonts w:hint="default"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4.施工时需配合医院工作作息时间，做好防尘降噪密封性隔断，同时协助科室搬运物资至甲方指定地点。</w:t>
      </w:r>
    </w:p>
    <w:p w14:paraId="0B7ADD90">
      <w:pPr>
        <w:pStyle w:val="47"/>
        <w:spacing w:line="360" w:lineRule="auto"/>
        <w:ind w:left="0" w:leftChars="0" w:firstLine="0"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5.本项目报价为总包干价，若施工过程中发现本项工程量清单存在漏项且不得不施工的内容，需提前请示采购人且项目总价不能超过99.9万元，经采购人同意后方可实施，增加工程量按照定额另行收方结算，并签订补充协议。</w:t>
      </w:r>
    </w:p>
    <w:p w14:paraId="339DC826">
      <w:pPr>
        <w:pStyle w:val="47"/>
        <w:spacing w:line="360" w:lineRule="auto"/>
        <w:ind w:left="0" w:leftChars="0" w:firstLine="0"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6.施工方对该项目施工过程中安全负全责。</w:t>
      </w:r>
    </w:p>
    <w:p w14:paraId="6BA8B73E">
      <w:pPr>
        <w:pStyle w:val="47"/>
        <w:spacing w:line="360" w:lineRule="auto"/>
        <w:ind w:left="0" w:leftChars="0" w:firstLine="0"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7.施工内容完全按照国家建筑防火、消防设施等相关技术规范及标准实施，所有材料进场前提供材料相关的合格证等材料，其中绝缘电线、铜芯多股绝缘电线、预置式七氟丙烷灭火装置、止回阀、70℃防火阀、防烟防火阀、混流风机、防爆混流风机需提供检测报告。</w:t>
      </w:r>
    </w:p>
    <w:p w14:paraId="2AAA5032">
      <w:pPr>
        <w:pStyle w:val="47"/>
        <w:spacing w:line="360" w:lineRule="auto"/>
        <w:ind w:left="0" w:leftChars="0" w:firstLine="0" w:firstLineChars="0"/>
        <w:rPr>
          <w:rFonts w:hint="default"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8.供应商提交两项消防施工程合同复印件并加盖公章，施工需包含气体灭火系统、通风系统等施工内容，并提供工程质量合格验收资料复印件并加盖公章。</w:t>
      </w:r>
    </w:p>
    <w:p w14:paraId="7C692629">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9.因本项目施工场地特殊（处于医院各个部位），投标前建议进行现场踏勘，以便了解施工场地条件，未进行现场踏勘的投标单位将视为已全面、充分了解施工场地条件。</w:t>
      </w: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1540F">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1.工期要求：从签订合同之日起45个自然日内完工。</w:t>
      </w:r>
    </w:p>
    <w:p w14:paraId="5D116A56">
      <w:pPr>
        <w:pStyle w:val="2"/>
        <w:spacing w:line="360" w:lineRule="auto"/>
        <w:rPr>
          <w:rFonts w:hint="default"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2.完成合同签订前中标单位需向采购人缴纳中标价5%的履约保证金，当完成验收后无息退还。</w:t>
      </w:r>
    </w:p>
    <w:p w14:paraId="566C564E">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3.付款方式：本项目竣工验收合格，中标单位开具全额发票，甲方在30个工作日内支付合同价的94%，余下6%两年后工程无质量问题，无息另行支付。</w:t>
      </w:r>
    </w:p>
    <w:p w14:paraId="6B8EB02E">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4.保修期：质保期2年。</w:t>
      </w:r>
    </w:p>
    <w:p w14:paraId="60E05749">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5.验收方式：施工方完工后，通知安全保卫科，由安全保卫科组织后勤保障科、信息中心、第三方机构、监理等共同验收。</w:t>
      </w:r>
    </w:p>
    <w:p w14:paraId="5743D79C">
      <w:pPr>
        <w:pStyle w:val="2"/>
        <w:spacing w:line="360" w:lineRule="auto"/>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6.验收内容：按照设计图相关要求的内容进行验收，安全保卫科、后勤保障科、信息中心、第三方机构、监理及施工方共同确认并签署工程验收表。</w:t>
      </w:r>
    </w:p>
    <w:p w14:paraId="222056D4">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2"/>
          <w:sz w:val="24"/>
          <w:szCs w:val="24"/>
          <w:lang w:val="en-US" w:eastAsia="zh-CN" w:bidi="ar-SA"/>
        </w:rPr>
      </w:pPr>
    </w:p>
    <w:p w14:paraId="781508C6">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2"/>
          <w:sz w:val="24"/>
          <w:szCs w:val="24"/>
          <w:lang w:val="en-US" w:eastAsia="zh-CN" w:bidi="ar-SA"/>
        </w:rPr>
      </w:pPr>
    </w:p>
    <w:p w14:paraId="0178A5B3">
      <w:pPr>
        <w:pStyle w:val="17"/>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7"/>
        <w:ind w:firstLine="420" w:firstLineChars="200"/>
      </w:pPr>
      <w:r>
        <w:br w:type="page"/>
      </w:r>
    </w:p>
    <w:p w14:paraId="4A80F053">
      <w:pPr>
        <w:pStyle w:val="3"/>
        <w:numPr>
          <w:ilvl w:val="0"/>
          <w:numId w:val="0"/>
        </w:numPr>
        <w:ind w:left="402"/>
      </w:pPr>
      <w:bookmarkStart w:id="10" w:name="_Toc3094"/>
      <w:bookmarkStart w:id="11" w:name="_Toc16344"/>
      <w:bookmarkStart w:id="12" w:name="_Toc22827"/>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5913"/>
      <w:bookmarkStart w:id="14" w:name="_Toc4960"/>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19851"/>
      <w:bookmarkStart w:id="17" w:name="_Toc30609"/>
      <w:bookmarkStart w:id="18" w:name="_Toc9428"/>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32352"/>
      <w:bookmarkStart w:id="20" w:name="_Toc1544"/>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1472"/>
      <w:bookmarkStart w:id="23" w:name="_Toc24097"/>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24859"/>
      <w:bookmarkStart w:id="25" w:name="_Toc1690"/>
      <w:bookmarkStart w:id="26" w:name="_Toc17163"/>
      <w:bookmarkStart w:id="27" w:name="_Toc3274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14829"/>
      <w:bookmarkStart w:id="41" w:name="_Toc6482"/>
      <w:bookmarkStart w:id="42" w:name="_Toc3023"/>
      <w:bookmarkStart w:id="43" w:name="_Toc21519"/>
      <w:bookmarkStart w:id="44" w:name="_Toc16029"/>
      <w:bookmarkStart w:id="45" w:name="_Toc11352"/>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4"/>
        <w:ind w:firstLine="0"/>
      </w:pPr>
      <w:r>
        <w:rPr>
          <w:rFonts w:hint="eastAsia"/>
        </w:rPr>
        <w:t>承诺函</w:t>
      </w:r>
      <w:bookmarkEnd w:id="40"/>
      <w:bookmarkEnd w:id="41"/>
      <w:bookmarkEnd w:id="42"/>
      <w:bookmarkEnd w:id="43"/>
      <w:bookmarkEnd w:id="44"/>
      <w:bookmarkEnd w:id="45"/>
    </w:p>
    <w:p w14:paraId="5C57FE19">
      <w:pPr>
        <w:pStyle w:val="2"/>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2"/>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2"/>
        <w:jc w:val="left"/>
        <w:rPr>
          <w:rFonts w:ascii="仿宋" w:hAnsi="仿宋" w:eastAsia="仿宋" w:cs="仿宋"/>
          <w:sz w:val="24"/>
        </w:rPr>
      </w:pPr>
      <w:r>
        <w:rPr>
          <w:rFonts w:hint="eastAsia" w:ascii="仿宋" w:hAnsi="仿宋" w:eastAsia="仿宋" w:cs="仿宋"/>
          <w:bCs/>
          <w:sz w:val="24"/>
        </w:rPr>
        <w:t>时间：</w:t>
      </w:r>
    </w:p>
    <w:p w14:paraId="0C21B068">
      <w:bookmarkStart w:id="46" w:name="_Toc17857"/>
      <w:bookmarkStart w:id="47" w:name="_Toc22676"/>
      <w:bookmarkStart w:id="48" w:name="_Toc30971"/>
      <w:bookmarkStart w:id="49" w:name="_Toc31838"/>
      <w:bookmarkStart w:id="50" w:name="_Toc4305"/>
      <w:r>
        <w:rPr>
          <w:rFonts w:hint="eastAsia"/>
        </w:rPr>
        <w:br w:type="page"/>
      </w:r>
    </w:p>
    <w:p w14:paraId="6576E327">
      <w:pPr>
        <w:pStyle w:val="4"/>
        <w:ind w:left="-1" w:firstLine="0"/>
      </w:pPr>
      <w:r>
        <w:rPr>
          <w:rFonts w:hint="eastAsia"/>
        </w:rPr>
        <w:t>具有独立承担民事责任的能力</w:t>
      </w:r>
      <w:bookmarkEnd w:id="46"/>
      <w:bookmarkEnd w:id="47"/>
      <w:bookmarkEnd w:id="48"/>
      <w:bookmarkEnd w:id="49"/>
      <w:bookmarkEnd w:id="50"/>
    </w:p>
    <w:p w14:paraId="55AE8E40">
      <w:pPr>
        <w:pStyle w:val="2"/>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4"/>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5772BECF">
      <w:pPr>
        <w:pStyle w:val="4"/>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1297E19C">
      <w:pPr>
        <w:pStyle w:val="2"/>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4"/>
        <w:ind w:firstLine="0"/>
        <w:rPr>
          <w:rFonts w:ascii="仿宋" w:hAnsi="仿宋" w:cs="仿宋"/>
          <w:szCs w:val="32"/>
        </w:rPr>
      </w:pPr>
      <w:r>
        <w:rPr>
          <w:rFonts w:hint="eastAsia" w:ascii="仿宋" w:hAnsi="仿宋" w:cs="仿宋"/>
          <w:szCs w:val="32"/>
        </w:rPr>
        <w:br w:type="page"/>
      </w:r>
      <w:bookmarkStart w:id="59" w:name="_Toc15526"/>
      <w:bookmarkStart w:id="60" w:name="_Toc27661"/>
      <w:bookmarkStart w:id="61" w:name="_Toc25638"/>
      <w:bookmarkStart w:id="62" w:name="_Toc12015"/>
      <w:bookmarkStart w:id="63" w:name="_Toc20589"/>
      <w:bookmarkStart w:id="64" w:name="_Toc11351"/>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2"/>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2"/>
        <w:snapToGrid w:val="0"/>
        <w:spacing w:after="0" w:line="500" w:lineRule="exact"/>
        <w:ind w:firstLine="480" w:firstLineChars="200"/>
        <w:rPr>
          <w:rFonts w:ascii="仿宋" w:hAnsi="仿宋" w:eastAsia="仿宋" w:cs="仿宋"/>
          <w:sz w:val="24"/>
        </w:rPr>
      </w:pPr>
    </w:p>
    <w:p w14:paraId="1D6F7AD1">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4"/>
        <w:ind w:firstLine="0"/>
        <w:rPr>
          <w:rStyle w:val="40"/>
          <w:rFonts w:ascii="仿宋" w:hAnsi="仿宋" w:cs="仿宋"/>
          <w:b/>
          <w:szCs w:val="32"/>
        </w:rPr>
      </w:pPr>
      <w:r>
        <w:rPr>
          <w:rFonts w:hint="eastAsia" w:ascii="仿宋" w:hAnsi="仿宋" w:cs="仿宋"/>
          <w:szCs w:val="32"/>
        </w:rPr>
        <w:br w:type="page"/>
      </w:r>
      <w:bookmarkStart w:id="65" w:name="_Toc1074"/>
      <w:bookmarkStart w:id="66" w:name="_Toc12967"/>
      <w:bookmarkStart w:id="67" w:name="_Toc2041"/>
      <w:bookmarkStart w:id="68" w:name="_Toc16435"/>
      <w:bookmarkStart w:id="69" w:name="_Toc23967"/>
      <w:bookmarkStart w:id="70" w:name="_Toc26969"/>
      <w:r>
        <w:rPr>
          <w:rStyle w:val="40"/>
          <w:rFonts w:hint="eastAsia"/>
          <w:b/>
        </w:rPr>
        <w:t>采购需求偏离表</w:t>
      </w:r>
      <w:bookmarkEnd w:id="65"/>
      <w:bookmarkEnd w:id="66"/>
      <w:bookmarkEnd w:id="67"/>
      <w:bookmarkEnd w:id="68"/>
      <w:bookmarkEnd w:id="69"/>
      <w:bookmarkEnd w:id="70"/>
    </w:p>
    <w:p w14:paraId="0E071324">
      <w:pPr>
        <w:pStyle w:val="4"/>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2"/>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7"/>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4"/>
        <w:numPr>
          <w:ilvl w:val="0"/>
          <w:numId w:val="0"/>
        </w:numPr>
        <w:ind w:firstLine="3534" w:firstLineChars="1100"/>
        <w:jc w:val="both"/>
        <w:rPr>
          <w:rStyle w:val="40"/>
          <w:b/>
        </w:rPr>
      </w:pPr>
    </w:p>
    <w:p w14:paraId="0853D2E0">
      <w:pPr>
        <w:pStyle w:val="4"/>
        <w:numPr>
          <w:ilvl w:val="0"/>
          <w:numId w:val="0"/>
        </w:numPr>
        <w:ind w:firstLine="3534" w:firstLineChars="1100"/>
        <w:jc w:val="both"/>
        <w:rPr>
          <w:rStyle w:val="40"/>
          <w:b/>
        </w:rPr>
      </w:pPr>
    </w:p>
    <w:p w14:paraId="5014DB5C">
      <w:pPr>
        <w:pStyle w:val="4"/>
        <w:numPr>
          <w:ilvl w:val="0"/>
          <w:numId w:val="0"/>
        </w:numPr>
        <w:ind w:firstLine="3534" w:firstLineChars="1100"/>
        <w:jc w:val="both"/>
        <w:rPr>
          <w:rStyle w:val="40"/>
          <w:b/>
        </w:rPr>
      </w:pPr>
    </w:p>
    <w:p w14:paraId="64E90E23">
      <w:pPr>
        <w:pStyle w:val="4"/>
        <w:numPr>
          <w:ilvl w:val="0"/>
          <w:numId w:val="0"/>
        </w:numPr>
        <w:ind w:firstLine="3534" w:firstLineChars="1100"/>
        <w:jc w:val="both"/>
        <w:rPr>
          <w:rStyle w:val="40"/>
          <w:b/>
        </w:rPr>
      </w:pPr>
    </w:p>
    <w:p w14:paraId="1F217B45">
      <w:pPr>
        <w:pStyle w:val="4"/>
        <w:numPr>
          <w:ilvl w:val="0"/>
          <w:numId w:val="0"/>
        </w:numPr>
        <w:ind w:firstLine="3534" w:firstLineChars="1100"/>
        <w:jc w:val="both"/>
        <w:rPr>
          <w:rStyle w:val="40"/>
          <w:b/>
        </w:rPr>
      </w:pPr>
    </w:p>
    <w:p w14:paraId="356321DF">
      <w:pPr>
        <w:pStyle w:val="4"/>
        <w:numPr>
          <w:ilvl w:val="0"/>
          <w:numId w:val="0"/>
        </w:numPr>
        <w:ind w:firstLine="3534" w:firstLineChars="1100"/>
        <w:jc w:val="both"/>
        <w:rPr>
          <w:rStyle w:val="40"/>
          <w:b/>
        </w:rPr>
      </w:pPr>
    </w:p>
    <w:p w14:paraId="2331287A">
      <w:pPr>
        <w:pStyle w:val="4"/>
        <w:numPr>
          <w:ilvl w:val="0"/>
          <w:numId w:val="0"/>
        </w:numPr>
        <w:ind w:firstLine="3534" w:firstLineChars="1100"/>
        <w:jc w:val="both"/>
        <w:rPr>
          <w:rStyle w:val="40"/>
          <w:b/>
        </w:rPr>
      </w:pPr>
    </w:p>
    <w:p w14:paraId="0FBF74A4">
      <w:pPr>
        <w:pStyle w:val="4"/>
        <w:numPr>
          <w:ilvl w:val="0"/>
          <w:numId w:val="0"/>
        </w:numPr>
        <w:ind w:firstLine="3534" w:firstLineChars="1100"/>
        <w:jc w:val="both"/>
        <w:rPr>
          <w:rStyle w:val="40"/>
          <w:b/>
        </w:rPr>
      </w:pPr>
    </w:p>
    <w:p w14:paraId="209FEA47">
      <w:pPr>
        <w:pStyle w:val="4"/>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2"/>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7"/>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4"/>
        <w:numPr>
          <w:ilvl w:val="0"/>
          <w:numId w:val="0"/>
        </w:numPr>
        <w:jc w:val="both"/>
        <w:rPr>
          <w:rFonts w:ascii="仿宋" w:hAnsi="仿宋" w:cs="仿宋"/>
          <w:bCs/>
          <w:szCs w:val="32"/>
        </w:rPr>
      </w:pPr>
      <w:bookmarkStart w:id="71" w:name="_Toc31686"/>
      <w:bookmarkStart w:id="72" w:name="_Toc21082"/>
      <w:bookmarkStart w:id="73" w:name="_Toc28634"/>
      <w:bookmarkStart w:id="74" w:name="_Toc24806"/>
      <w:bookmarkStart w:id="75" w:name="_Toc26839"/>
      <w:bookmarkStart w:id="76" w:name="_Toc1369"/>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24494"/>
      <w:bookmarkStart w:id="78" w:name="_Toc32605"/>
      <w:bookmarkStart w:id="79" w:name="_Toc3871"/>
    </w:p>
    <w:p w14:paraId="3299DA49">
      <w:pPr>
        <w:pStyle w:val="4"/>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14685"/>
      <w:bookmarkStart w:id="82" w:name="_Toc29032"/>
      <w:bookmarkStart w:id="83"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2"/>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2"/>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2"/>
        <w:rPr>
          <w:rFonts w:ascii="仿宋" w:hAnsi="仿宋" w:eastAsia="仿宋" w:cs="仿宋"/>
          <w:b/>
          <w:bCs/>
        </w:rPr>
      </w:pPr>
      <w:r>
        <w:rPr>
          <w:rFonts w:hint="eastAsia" w:ascii="仿宋" w:hAnsi="仿宋" w:eastAsia="仿宋" w:cs="仿宋"/>
          <w:b/>
          <w:bCs/>
        </w:rPr>
        <w:t>2.报价一览表</w:t>
      </w:r>
    </w:p>
    <w:tbl>
      <w:tblPr>
        <w:tblStyle w:val="20"/>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51C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9BEDC02">
            <w:pPr>
              <w:pStyle w:val="2"/>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D101700">
            <w:pPr>
              <w:pStyle w:val="2"/>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4F75B2F0">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p>
        </w:tc>
      </w:tr>
      <w:tr w14:paraId="090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1744" w:type="dxa"/>
            <w:vAlign w:val="center"/>
          </w:tcPr>
          <w:p w14:paraId="35F18D19">
            <w:pPr>
              <w:pStyle w:val="2"/>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142CEE6">
            <w:pPr>
              <w:pStyle w:val="2"/>
              <w:jc w:val="center"/>
              <w:rPr>
                <w:rFonts w:ascii="仿宋" w:hAnsi="仿宋" w:eastAsia="仿宋" w:cs="仿宋"/>
                <w:sz w:val="24"/>
                <w:szCs w:val="24"/>
              </w:rPr>
            </w:pPr>
          </w:p>
        </w:tc>
        <w:tc>
          <w:tcPr>
            <w:tcW w:w="3817" w:type="dxa"/>
            <w:vAlign w:val="center"/>
          </w:tcPr>
          <w:p w14:paraId="336E157E">
            <w:pPr>
              <w:pStyle w:val="2"/>
              <w:jc w:val="center"/>
              <w:rPr>
                <w:rFonts w:ascii="仿宋" w:hAnsi="仿宋" w:eastAsia="仿宋" w:cs="仿宋"/>
                <w:sz w:val="24"/>
                <w:szCs w:val="24"/>
              </w:rPr>
            </w:pPr>
          </w:p>
        </w:tc>
      </w:tr>
      <w:tr w14:paraId="039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744" w:type="dxa"/>
            <w:vAlign w:val="center"/>
          </w:tcPr>
          <w:p w14:paraId="3DBE90BC">
            <w:pPr>
              <w:pStyle w:val="2"/>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264496A">
            <w:pPr>
              <w:pStyle w:val="2"/>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16781C29">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2"/>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4"/>
        <w:ind w:firstLine="0"/>
      </w:pPr>
      <w:r>
        <w:rPr>
          <w:rFonts w:hint="eastAsia"/>
        </w:rPr>
        <w:t>供应商认为需要提供的其他材料</w:t>
      </w:r>
      <w:bookmarkEnd w:id="77"/>
      <w:bookmarkEnd w:id="78"/>
      <w:bookmarkEnd w:id="79"/>
      <w:bookmarkEnd w:id="81"/>
      <w:bookmarkEnd w:id="82"/>
      <w:bookmarkEnd w:id="83"/>
    </w:p>
    <w:p w14:paraId="75706F50">
      <w:pPr>
        <w:pStyle w:val="2"/>
        <w:jc w:val="center"/>
        <w:rPr>
          <w:rFonts w:ascii="仿宋" w:hAnsi="仿宋" w:eastAsia="仿宋" w:cs="仿宋"/>
        </w:rPr>
      </w:pPr>
    </w:p>
    <w:p w14:paraId="3BDE8109">
      <w:pPr>
        <w:pStyle w:val="2"/>
        <w:jc w:val="center"/>
        <w:rPr>
          <w:rFonts w:ascii="仿宋" w:hAnsi="仿宋" w:eastAsia="仿宋" w:cs="仿宋"/>
        </w:rPr>
      </w:pPr>
    </w:p>
    <w:p w14:paraId="63FFE08D">
      <w:pPr>
        <w:pStyle w:val="2"/>
        <w:jc w:val="center"/>
        <w:rPr>
          <w:rFonts w:ascii="仿宋" w:hAnsi="仿宋" w:eastAsia="仿宋" w:cs="仿宋"/>
        </w:rPr>
      </w:pPr>
    </w:p>
    <w:p w14:paraId="45648C50">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5447"/>
      <w:bookmarkStart w:id="85" w:name="_Toc20691"/>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686D4DF-5DE5-4690-89AD-B289E155384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CCC9223-D9AA-46A7-82EC-FE35C11643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ECA19244-AF82-4084-AE7C-E51ECAEEDC32}"/>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6229C293-D373-49FE-A356-F9022F07DA08}"/>
  </w:font>
  <w:font w:name="Wingdings">
    <w:panose1 w:val="05000000000000000000"/>
    <w:charset w:val="00"/>
    <w:family w:val="auto"/>
    <w:pitch w:val="default"/>
    <w:sig w:usb0="00000000" w:usb1="00000000" w:usb2="00000000" w:usb3="00000000" w:csb0="80000000" w:csb1="00000000"/>
    <w:embedRegular r:id="rId5" w:fontKey="{5B3338AB-3D3E-44F8-9268-ED371C5BF835}"/>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6">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7">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8">
    <w:nsid w:val="F2F731C3"/>
    <w:multiLevelType w:val="singleLevel"/>
    <w:tmpl w:val="F2F731C3"/>
    <w:lvl w:ilvl="0" w:tentative="0">
      <w:start w:val="1"/>
      <w:numFmt w:val="chineseCounting"/>
      <w:pStyle w:val="4"/>
      <w:suff w:val="nothing"/>
      <w:lvlText w:val="%1、"/>
      <w:lvlJc w:val="left"/>
      <w:pPr>
        <w:ind w:left="0" w:firstLine="420"/>
      </w:pPr>
      <w:rPr>
        <w:rFonts w:hint="eastAsia"/>
      </w:rPr>
    </w:lvl>
  </w:abstractNum>
  <w:abstractNum w:abstractNumId="9">
    <w:nsid w:val="FCA5E3A8"/>
    <w:multiLevelType w:val="singleLevel"/>
    <w:tmpl w:val="FCA5E3A8"/>
    <w:lvl w:ilvl="0" w:tentative="0">
      <w:start w:val="1"/>
      <w:numFmt w:val="decimal"/>
      <w:suff w:val="nothing"/>
      <w:lvlText w:val="（%1）"/>
      <w:lvlJc w:val="left"/>
      <w:pPr>
        <w:ind w:left="-210"/>
      </w:pPr>
    </w:lvl>
  </w:abstractNum>
  <w:abstractNum w:abstractNumId="10">
    <w:nsid w:val="012C4457"/>
    <w:multiLevelType w:val="singleLevel"/>
    <w:tmpl w:val="012C4457"/>
    <w:lvl w:ilvl="0" w:tentative="0">
      <w:start w:val="1"/>
      <w:numFmt w:val="chineseCounting"/>
      <w:suff w:val="nothing"/>
      <w:lvlText w:val="%1、"/>
      <w:lvlJc w:val="left"/>
      <w:rPr>
        <w:rFonts w:hint="eastAsia"/>
      </w:r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8"/>
  </w:num>
  <w:num w:numId="3">
    <w:abstractNumId w:val="14"/>
  </w:num>
  <w:num w:numId="4">
    <w:abstractNumId w:val="17"/>
  </w:num>
  <w:num w:numId="5">
    <w:abstractNumId w:val="11"/>
  </w:num>
  <w:num w:numId="6">
    <w:abstractNumId w:val="16"/>
  </w:num>
  <w:num w:numId="7">
    <w:abstractNumId w:val="13"/>
  </w:num>
  <w:num w:numId="8">
    <w:abstractNumId w:val="7"/>
  </w:num>
  <w:num w:numId="9">
    <w:abstractNumId w:val="15"/>
  </w:num>
  <w:num w:numId="10">
    <w:abstractNumId w:val="1"/>
  </w:num>
  <w:num w:numId="11">
    <w:abstractNumId w:val="4"/>
  </w:num>
  <w:num w:numId="12">
    <w:abstractNumId w:val="0"/>
  </w:num>
  <w:num w:numId="13">
    <w:abstractNumId w:val="2"/>
  </w:num>
  <w:num w:numId="14">
    <w:abstractNumId w:val="6"/>
  </w:num>
  <w:num w:numId="15">
    <w:abstractNumId w:val="3"/>
  </w:num>
  <w:num w:numId="16">
    <w:abstractNumId w:val="5"/>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37B73C5"/>
    <w:rsid w:val="038E0C11"/>
    <w:rsid w:val="041D546A"/>
    <w:rsid w:val="05786D8C"/>
    <w:rsid w:val="058C78B0"/>
    <w:rsid w:val="05E13064"/>
    <w:rsid w:val="06043A48"/>
    <w:rsid w:val="06D857D5"/>
    <w:rsid w:val="07275343"/>
    <w:rsid w:val="078909F5"/>
    <w:rsid w:val="07CA7DEC"/>
    <w:rsid w:val="093A3733"/>
    <w:rsid w:val="0A4B5655"/>
    <w:rsid w:val="0A5B6C7C"/>
    <w:rsid w:val="0B223ED3"/>
    <w:rsid w:val="0B395F4B"/>
    <w:rsid w:val="0B4276FF"/>
    <w:rsid w:val="0B4508AE"/>
    <w:rsid w:val="0BF34D9F"/>
    <w:rsid w:val="0C375F99"/>
    <w:rsid w:val="0C917085"/>
    <w:rsid w:val="0CD33899"/>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DD000AF"/>
    <w:rsid w:val="1E09745A"/>
    <w:rsid w:val="1E14234D"/>
    <w:rsid w:val="1E8F4CF1"/>
    <w:rsid w:val="1F4F7C3B"/>
    <w:rsid w:val="1F920200"/>
    <w:rsid w:val="20D97009"/>
    <w:rsid w:val="210C2FB0"/>
    <w:rsid w:val="211D2ED8"/>
    <w:rsid w:val="2173335D"/>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43706EB"/>
    <w:rsid w:val="34732DE4"/>
    <w:rsid w:val="34E851C6"/>
    <w:rsid w:val="351A08D0"/>
    <w:rsid w:val="357519FC"/>
    <w:rsid w:val="35A61797"/>
    <w:rsid w:val="35D74205"/>
    <w:rsid w:val="362A0508"/>
    <w:rsid w:val="367D6EF4"/>
    <w:rsid w:val="373D3686"/>
    <w:rsid w:val="37BF3B20"/>
    <w:rsid w:val="37D82A22"/>
    <w:rsid w:val="380B5401"/>
    <w:rsid w:val="38323B02"/>
    <w:rsid w:val="38AE5E8C"/>
    <w:rsid w:val="39643D30"/>
    <w:rsid w:val="3A335BDD"/>
    <w:rsid w:val="3A900FE8"/>
    <w:rsid w:val="3B4E7DFC"/>
    <w:rsid w:val="3D375AA1"/>
    <w:rsid w:val="3D931F15"/>
    <w:rsid w:val="3EA40469"/>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32695E"/>
    <w:rsid w:val="4AB820A2"/>
    <w:rsid w:val="4AC93DD1"/>
    <w:rsid w:val="4B4F618D"/>
    <w:rsid w:val="4BAD0151"/>
    <w:rsid w:val="4C8F75A2"/>
    <w:rsid w:val="4CAD0AB1"/>
    <w:rsid w:val="4CB701C3"/>
    <w:rsid w:val="4E1A4A99"/>
    <w:rsid w:val="4E8C008E"/>
    <w:rsid w:val="4FD14828"/>
    <w:rsid w:val="4FE76A45"/>
    <w:rsid w:val="506A72A7"/>
    <w:rsid w:val="50771A9C"/>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796A42"/>
    <w:rsid w:val="60605BAC"/>
    <w:rsid w:val="60C53B7A"/>
    <w:rsid w:val="60E308E3"/>
    <w:rsid w:val="62330506"/>
    <w:rsid w:val="62C51434"/>
    <w:rsid w:val="632E2511"/>
    <w:rsid w:val="63553057"/>
    <w:rsid w:val="63A9427A"/>
    <w:rsid w:val="63AB062A"/>
    <w:rsid w:val="63D462B1"/>
    <w:rsid w:val="641A3596"/>
    <w:rsid w:val="644B0163"/>
    <w:rsid w:val="647C6435"/>
    <w:rsid w:val="65493C57"/>
    <w:rsid w:val="658845F7"/>
    <w:rsid w:val="65E40ADA"/>
    <w:rsid w:val="66330B86"/>
    <w:rsid w:val="667879D5"/>
    <w:rsid w:val="66A70F60"/>
    <w:rsid w:val="66E22203"/>
    <w:rsid w:val="67133952"/>
    <w:rsid w:val="67330CCC"/>
    <w:rsid w:val="67C95196"/>
    <w:rsid w:val="68C36416"/>
    <w:rsid w:val="69C42446"/>
    <w:rsid w:val="69D50CF4"/>
    <w:rsid w:val="6AA97CAB"/>
    <w:rsid w:val="6AD401BA"/>
    <w:rsid w:val="6C487AFD"/>
    <w:rsid w:val="6CB24363"/>
    <w:rsid w:val="6D926B67"/>
    <w:rsid w:val="6DA52693"/>
    <w:rsid w:val="6DE728CA"/>
    <w:rsid w:val="6FA23F69"/>
    <w:rsid w:val="6FCF0795"/>
    <w:rsid w:val="70076B11"/>
    <w:rsid w:val="70480305"/>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4">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index 8"/>
    <w:basedOn w:val="1"/>
    <w:next w:val="1"/>
    <w:semiHidden/>
    <w:qFormat/>
    <w:uiPriority w:val="99"/>
    <w:pPr>
      <w:ind w:left="2940"/>
    </w:pPr>
  </w:style>
  <w:style w:type="paragraph" w:styleId="6">
    <w:name w:val="Normal Indent"/>
    <w:basedOn w:val="1"/>
    <w:next w:val="1"/>
    <w:qFormat/>
    <w:uiPriority w:val="0"/>
    <w:pPr>
      <w:ind w:firstLine="420" w:firstLineChars="200"/>
    </w:pPr>
    <w:rPr>
      <w:kern w:val="0"/>
      <w:sz w:val="24"/>
      <w:szCs w:val="20"/>
    </w:rPr>
  </w:style>
  <w:style w:type="paragraph" w:styleId="7">
    <w:name w:val="annotation text"/>
    <w:basedOn w:val="1"/>
    <w:link w:val="37"/>
    <w:qFormat/>
    <w:uiPriority w:val="0"/>
    <w:pPr>
      <w:jc w:val="left"/>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2"/>
    <w:qFormat/>
    <w:uiPriority w:val="0"/>
    <w:pPr>
      <w:spacing w:after="120" w:line="480" w:lineRule="auto"/>
      <w:ind w:left="420" w:leftChars="200"/>
    </w:pPr>
    <w:rPr>
      <w:szCs w:val="20"/>
    </w:rPr>
  </w:style>
  <w:style w:type="paragraph" w:styleId="11">
    <w:name w:val="Balloon Text"/>
    <w:basedOn w:val="1"/>
    <w:link w:val="39"/>
    <w:qFormat/>
    <w:uiPriority w:val="0"/>
    <w:rPr>
      <w:sz w:val="18"/>
      <w:szCs w:val="18"/>
    </w:r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next w:val="2"/>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7"/>
    <w:next w:val="7"/>
    <w:link w:val="38"/>
    <w:qFormat/>
    <w:uiPriority w:val="0"/>
    <w:rPr>
      <w:b/>
      <w:bCs/>
    </w:rPr>
  </w:style>
  <w:style w:type="paragraph" w:styleId="17">
    <w:name w:val="Body Text First Indent"/>
    <w:basedOn w:val="2"/>
    <w:link w:val="33"/>
    <w:qFormat/>
    <w:uiPriority w:val="0"/>
    <w:pPr>
      <w:snapToGrid w:val="0"/>
      <w:spacing w:before="40" w:after="40" w:line="288" w:lineRule="auto"/>
      <w:ind w:firstLine="482"/>
    </w:pPr>
    <w:rPr>
      <w:rFonts w:ascii="仿宋_GB2312" w:hAnsi="仿宋_GB2312" w:eastAsia="仿宋_GB2312"/>
      <w:szCs w:val="20"/>
    </w:rPr>
  </w:style>
  <w:style w:type="paragraph" w:styleId="18">
    <w:name w:val="Body Text First Indent 2"/>
    <w:basedOn w:val="8"/>
    <w:link w:val="36"/>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0"/>
    <w:qFormat/>
    <w:uiPriority w:val="0"/>
    <w:rPr>
      <w:szCs w:val="20"/>
    </w:rPr>
  </w:style>
  <w:style w:type="character" w:customStyle="1" w:styleId="33">
    <w:name w:val="正文首行缩进 字符"/>
    <w:link w:val="17"/>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18"/>
    <w:qFormat/>
    <w:uiPriority w:val="99"/>
    <w:rPr>
      <w:rFonts w:ascii="宋体" w:hAnsi="Times New Roman"/>
      <w:kern w:val="0"/>
      <w:sz w:val="21"/>
      <w:szCs w:val="24"/>
    </w:rPr>
  </w:style>
  <w:style w:type="character" w:customStyle="1" w:styleId="37">
    <w:name w:val="批注文字 字符"/>
    <w:basedOn w:val="21"/>
    <w:link w:val="7"/>
    <w:qFormat/>
    <w:uiPriority w:val="0"/>
    <w:rPr>
      <w:kern w:val="2"/>
      <w:sz w:val="21"/>
      <w:szCs w:val="22"/>
    </w:rPr>
  </w:style>
  <w:style w:type="character" w:customStyle="1" w:styleId="38">
    <w:name w:val="批注主题 字符"/>
    <w:basedOn w:val="37"/>
    <w:link w:val="16"/>
    <w:qFormat/>
    <w:uiPriority w:val="0"/>
    <w:rPr>
      <w:b/>
      <w:bCs/>
      <w:kern w:val="2"/>
      <w:sz w:val="21"/>
      <w:szCs w:val="22"/>
    </w:rPr>
  </w:style>
  <w:style w:type="character" w:customStyle="1" w:styleId="39">
    <w:name w:val="批注框文本 字符"/>
    <w:basedOn w:val="21"/>
    <w:link w:val="11"/>
    <w:qFormat/>
    <w:uiPriority w:val="0"/>
    <w:rPr>
      <w:kern w:val="2"/>
      <w:sz w:val="18"/>
      <w:szCs w:val="18"/>
    </w:rPr>
  </w:style>
  <w:style w:type="character" w:customStyle="1" w:styleId="40">
    <w:name w:val="标题 2 字符"/>
    <w:link w:val="4"/>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2"/>
    <w:qFormat/>
    <w:uiPriority w:val="99"/>
    <w:rPr>
      <w:rFonts w:asciiTheme="minorHAnsi" w:hAnsiTheme="minorHAnsi" w:eastAsiaTheme="minorEastAsia" w:cstheme="minorBidi"/>
      <w:kern w:val="2"/>
      <w:sz w:val="18"/>
      <w:szCs w:val="18"/>
    </w:rPr>
  </w:style>
  <w:style w:type="character" w:customStyle="1" w:styleId="45">
    <w:name w:val="页眉 字符"/>
    <w:basedOn w:val="21"/>
    <w:link w:val="13"/>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28</Pages>
  <Words>149</Words>
  <Characters>163</Characters>
  <Lines>59</Lines>
  <Paragraphs>16</Paragraphs>
  <TotalTime>0</TotalTime>
  <ScaleCrop>false</ScaleCrop>
  <LinksUpToDate>false</LinksUpToDate>
  <CharactersWithSpaces>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2026-03-18T00:49:40Z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