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18号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天府数智助医医疗数智化服务</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天府数智助医医疗数智化服务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9.75万元/年，总价不超过29.25</w:t>
            </w:r>
            <w:r>
              <w:rPr>
                <w:rFonts w:hint="eastAsia" w:ascii="仿宋" w:hAnsi="仿宋" w:eastAsia="仿宋" w:cs="仿宋"/>
                <w:sz w:val="22"/>
              </w:rPr>
              <w:t>万元（超过最高限价的报价，其响应文件作无效处理）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 xml:space="preserve">主管部门： </w:t>
            </w:r>
            <w:r>
              <w:rPr>
                <w:rFonts w:hint="eastAsia" w:ascii="仿宋" w:hAnsi="仿宋" w:eastAsia="仿宋" w:cs="仿宋"/>
                <w:b/>
                <w:bCs/>
                <w:sz w:val="22"/>
                <w:lang w:val="en-US" w:eastAsia="zh-CN"/>
              </w:rPr>
              <w:t>信息中心</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沈老师 15984604404</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6331FF86">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numId w:val="0"/>
        </w:numPr>
        <w:ind w:leftChars="0"/>
        <w:rPr>
          <w:rFonts w:hint="default"/>
          <w:lang w:val="en-US" w:eastAsia="zh-CN"/>
        </w:rPr>
      </w:pPr>
      <w:r>
        <w:rPr>
          <w:rFonts w:hint="default"/>
          <w:lang w:val="en-US" w:eastAsia="zh-CN"/>
        </w:rPr>
        <w:t>根据我院信息化项目建设需要，</w:t>
      </w:r>
      <w:r>
        <w:rPr>
          <w:rFonts w:hint="eastAsia"/>
          <w:lang w:val="en-US" w:eastAsia="zh-CN"/>
        </w:rPr>
        <w:t>采购天府数智助医医疗数智化服务，服务期三年。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5B1EDDE6">
      <w:pPr>
        <w:numPr>
          <w:ilvl w:val="0"/>
          <w:numId w:val="19"/>
        </w:numPr>
        <w:rPr>
          <w:rFonts w:hint="eastAsia"/>
          <w:lang w:val="en-US" w:eastAsia="zh-CN"/>
        </w:rPr>
      </w:pPr>
      <w:r>
        <w:rPr>
          <w:rFonts w:hint="eastAsia"/>
          <w:lang w:val="en-US" w:eastAsia="zh-CN"/>
        </w:rPr>
        <w:t>基本要求</w:t>
      </w:r>
    </w:p>
    <w:p w14:paraId="71E0C8C0">
      <w:pPr>
        <w:numPr>
          <w:ilvl w:val="0"/>
          <w:numId w:val="20"/>
        </w:numPr>
        <w:ind w:left="425" w:leftChars="0" w:hanging="425" w:firstLineChars="0"/>
        <w:rPr>
          <w:rFonts w:hint="default"/>
          <w:lang w:val="en-US" w:eastAsia="zh-CN"/>
        </w:rPr>
      </w:pPr>
      <w:r>
        <w:rPr>
          <w:rFonts w:hint="eastAsia"/>
          <w:lang w:val="en-US" w:eastAsia="zh-CN"/>
        </w:rPr>
        <w:t>由供应商在采购人指定地点提供天府数智助医医疗数智化服务，提供的服务时间为3年，合同一年一签，供应商在报价时包含了</w:t>
      </w:r>
      <w:r>
        <w:rPr>
          <w:rFonts w:hint="eastAsia"/>
        </w:rPr>
        <w:t>完成本项目所需的全部费用，</w:t>
      </w:r>
      <w:r>
        <w:rPr>
          <w:rFonts w:hint="eastAsia"/>
          <w:lang w:val="en-US" w:eastAsia="zh-CN"/>
        </w:rPr>
        <w:t>包括但不限于</w:t>
      </w:r>
      <w:r>
        <w:rPr>
          <w:rFonts w:hint="eastAsia"/>
        </w:rPr>
        <w:t>人工费、差旅费、税费等完成本项目所需的费用</w:t>
      </w:r>
      <w:r>
        <w:rPr>
          <w:rFonts w:hint="eastAsia"/>
          <w:lang w:eastAsia="zh-CN"/>
        </w:rPr>
        <w:t>，</w:t>
      </w:r>
      <w:r>
        <w:rPr>
          <w:rFonts w:hint="eastAsia"/>
          <w:lang w:val="en-US" w:eastAsia="zh-CN"/>
        </w:rPr>
        <w:t>采购人不再另行支付其他费用。</w:t>
      </w:r>
    </w:p>
    <w:p w14:paraId="1A71BA18">
      <w:pPr>
        <w:numPr>
          <w:ilvl w:val="0"/>
          <w:numId w:val="19"/>
        </w:numPr>
        <w:rPr>
          <w:rFonts w:hint="default"/>
          <w:lang w:val="en-US" w:eastAsia="zh-CN"/>
        </w:rPr>
      </w:pPr>
      <w:r>
        <w:rPr>
          <w:rFonts w:hint="eastAsia"/>
          <w:lang w:val="en-US" w:eastAsia="zh-CN"/>
        </w:rPr>
        <w:t>技术要求</w:t>
      </w:r>
    </w:p>
    <w:p w14:paraId="4461DA37">
      <w:pPr>
        <w:numPr>
          <w:ilvl w:val="0"/>
          <w:numId w:val="20"/>
        </w:numPr>
        <w:ind w:left="425" w:leftChars="0" w:hanging="425" w:firstLineChars="0"/>
        <w:rPr>
          <w:rFonts w:hint="eastAsia"/>
        </w:rPr>
      </w:pPr>
      <w:r>
        <w:rPr>
          <w:rFonts w:hint="eastAsia"/>
        </w:rPr>
        <w:t>病案首页数据挖掘分析:</w:t>
      </w:r>
    </w:p>
    <w:p w14:paraId="691F012A">
      <w:pPr>
        <w:ind w:firstLine="420" w:firstLineChars="200"/>
        <w:rPr>
          <w:rFonts w:hint="eastAsia"/>
        </w:rPr>
      </w:pPr>
      <w:r>
        <w:rPr>
          <w:rFonts w:hint="eastAsia"/>
        </w:rPr>
        <w:t>基于病案首页数据，开展疾病分布与诊疗行为的数据挖掘分析，为临床路径优化与重点专科评估提供量化依据与决策支持。</w:t>
      </w:r>
    </w:p>
    <w:p w14:paraId="63CA7C28">
      <w:pPr>
        <w:numPr>
          <w:ilvl w:val="0"/>
          <w:numId w:val="20"/>
        </w:numPr>
        <w:ind w:left="425" w:leftChars="0" w:hanging="425" w:firstLineChars="0"/>
        <w:rPr>
          <w:rFonts w:hint="eastAsia"/>
        </w:rPr>
      </w:pPr>
      <w:r>
        <w:rPr>
          <w:rFonts w:hint="eastAsia"/>
        </w:rPr>
        <w:t>DRGS分析监测:</w:t>
      </w:r>
    </w:p>
    <w:p w14:paraId="174E4F19">
      <w:pPr>
        <w:ind w:firstLine="420" w:firstLineChars="200"/>
        <w:rPr>
          <w:rFonts w:hint="eastAsia"/>
        </w:rPr>
      </w:pPr>
      <w:r>
        <w:rPr>
          <w:rFonts w:hint="eastAsia"/>
        </w:rPr>
        <w:t>基于DRGs指标体系，从全院、科室、专科、医生、病种及费用结构等多维度，对医院服务能力、服务效率与医疗质量安全进行深度监测与分析。通过纵向趋势对比与横向对标分析，帮助医院明差距、知短板，为医院提升精细化管理水平与核心竞争力提供精准的数据洞察和决策支持。</w:t>
      </w:r>
    </w:p>
    <w:p w14:paraId="4010A785">
      <w:pPr>
        <w:numPr>
          <w:ilvl w:val="0"/>
          <w:numId w:val="20"/>
        </w:numPr>
        <w:ind w:left="425" w:leftChars="0" w:hanging="425" w:firstLineChars="0"/>
        <w:rPr>
          <w:rFonts w:hint="eastAsia"/>
        </w:rPr>
      </w:pPr>
      <w:r>
        <w:rPr>
          <w:rFonts w:hint="eastAsia"/>
        </w:rPr>
        <w:t>专科质量分析:</w:t>
      </w:r>
    </w:p>
    <w:p w14:paraId="45B168DB">
      <w:pPr>
        <w:ind w:firstLine="420" w:firstLineChars="200"/>
        <w:rPr>
          <w:rFonts w:hint="eastAsia"/>
        </w:rPr>
      </w:pPr>
      <w:r>
        <w:rPr>
          <w:rFonts w:hint="eastAsia"/>
        </w:rPr>
        <w:t>遵循&lt;&lt;国家临床专科能力评估办法(试行)&gt;&gt;等指标体系及导向，从服务能力、技术能力、质量安全、服务效率四个维度开展临床专科评价。</w:t>
      </w:r>
    </w:p>
    <w:p w14:paraId="4CD82476">
      <w:pPr>
        <w:numPr>
          <w:ilvl w:val="0"/>
          <w:numId w:val="20"/>
        </w:numPr>
        <w:ind w:left="425" w:leftChars="0" w:hanging="425" w:firstLineChars="0"/>
        <w:rPr>
          <w:rFonts w:hint="eastAsia"/>
        </w:rPr>
      </w:pPr>
      <w:r>
        <w:rPr>
          <w:rFonts w:hint="eastAsia"/>
        </w:rPr>
        <w:t>服务能力监测:</w:t>
      </w:r>
    </w:p>
    <w:p w14:paraId="36039785">
      <w:pPr>
        <w:ind w:firstLine="420" w:firstLineChars="200"/>
        <w:rPr>
          <w:rFonts w:hint="eastAsia"/>
        </w:rPr>
      </w:pPr>
      <w:r>
        <w:rPr>
          <w:rFonts w:hint="eastAsia"/>
        </w:rPr>
        <w:t>提高资源配置与运行、医疗服务能力与医院质量安全、重点专业质量控制、单病种(术种)质量控制和重点医疗技术临床应用质量控制五大模块的综合分析和对标分析。</w:t>
      </w:r>
    </w:p>
    <w:p w14:paraId="7C84AF29">
      <w:pPr>
        <w:numPr>
          <w:ilvl w:val="0"/>
          <w:numId w:val="20"/>
        </w:numPr>
        <w:ind w:left="425" w:leftChars="0" w:hanging="425" w:firstLineChars="0"/>
        <w:rPr>
          <w:rFonts w:hint="eastAsia"/>
        </w:rPr>
      </w:pPr>
      <w:r>
        <w:rPr>
          <w:rFonts w:hint="eastAsia"/>
        </w:rPr>
        <w:t>功能要求：</w:t>
      </w:r>
    </w:p>
    <w:p w14:paraId="260EEC44">
      <w:pPr>
        <w:numPr>
          <w:ilvl w:val="0"/>
          <w:numId w:val="0"/>
        </w:numPr>
        <w:ind w:leftChars="0" w:firstLine="420" w:firstLineChars="200"/>
        <w:rPr>
          <w:rFonts w:hint="eastAsia"/>
        </w:rPr>
      </w:pPr>
      <w:r>
        <w:rPr>
          <w:rFonts w:hint="eastAsia"/>
        </w:rPr>
        <w:t>基于先进的大数据、云计算技术，实现对卫生统计大数据的科学建模与深度挖掘，确保分析结果的准确性和实时性。服务内容需覆盖文档所述的增值服务模块，提供直观、可视化、可衡量的分析体系，支持多维度对标和趋势分析。</w:t>
      </w:r>
    </w:p>
    <w:p w14:paraId="37C7EF44">
      <w:pPr>
        <w:numPr>
          <w:ilvl w:val="0"/>
          <w:numId w:val="20"/>
        </w:numPr>
        <w:ind w:left="425" w:leftChars="0" w:hanging="425" w:firstLineChars="0"/>
        <w:rPr>
          <w:rFonts w:hint="eastAsia"/>
        </w:rPr>
      </w:pPr>
      <w:r>
        <w:rPr>
          <w:rFonts w:hint="eastAsia"/>
        </w:rPr>
        <w:t>稳定性服务：</w:t>
      </w:r>
    </w:p>
    <w:p w14:paraId="09777E62">
      <w:pPr>
        <w:numPr>
          <w:ilvl w:val="0"/>
          <w:numId w:val="0"/>
        </w:numPr>
        <w:spacing w:line="360" w:lineRule="auto"/>
        <w:ind w:leftChars="0"/>
        <w:rPr>
          <w:rFonts w:hint="eastAsia" w:ascii="宋体" w:hAnsi="宋体" w:eastAsia="宋体" w:cs="宋体"/>
          <w:b w:val="0"/>
          <w:bCs w:val="0"/>
          <w:sz w:val="24"/>
          <w:szCs w:val="24"/>
          <w:lang w:eastAsia="zh-CN"/>
        </w:rPr>
      </w:pPr>
      <w:r>
        <w:rPr>
          <w:rFonts w:hint="eastAsia"/>
        </w:rPr>
        <w:t>保证</w:t>
      </w:r>
      <w:r>
        <w:rPr>
          <w:rFonts w:hint="eastAsia"/>
          <w:lang w:val="en-US" w:eastAsia="zh-CN"/>
        </w:rPr>
        <w:t>售后</w:t>
      </w:r>
      <w:r>
        <w:rPr>
          <w:rFonts w:hint="eastAsia"/>
        </w:rPr>
        <w:t>服务可靠性，支持每周5×24小时访问，</w:t>
      </w:r>
      <w:r>
        <w:rPr>
          <w:rFonts w:hint="eastAsia"/>
          <w:lang w:val="en-US" w:eastAsia="zh-CN"/>
        </w:rPr>
        <w:t>在合同有效期内</w:t>
      </w:r>
      <w:r>
        <w:rPr>
          <w:rFonts w:hint="eastAsia"/>
        </w:rPr>
        <w:t>并提供必要的技术支持和维护。</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3A6CAC1">
      <w:pPr>
        <w:pStyle w:val="46"/>
        <w:numPr>
          <w:ilvl w:val="0"/>
          <w:numId w:val="21"/>
        </w:numPr>
        <w:ind w:left="0" w:leftChars="0" w:firstLine="0" w:firstLineChars="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履约要求：</w:t>
      </w:r>
    </w:p>
    <w:p w14:paraId="0768E3F7">
      <w:pPr>
        <w:pStyle w:val="46"/>
        <w:numPr>
          <w:ilvl w:val="0"/>
          <w:numId w:val="0"/>
        </w:numPr>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成交供应商需在30日内与采购人签订合同，成交供应商应在签订合同后30日内提供相应的系统并完成调试，并进行验收。</w:t>
      </w:r>
    </w:p>
    <w:p w14:paraId="2DC3E839">
      <w:pPr>
        <w:pStyle w:val="46"/>
        <w:numPr>
          <w:ilvl w:val="0"/>
          <w:numId w:val="21"/>
        </w:numPr>
        <w:ind w:left="0" w:leftChars="0" w:firstLine="0" w:firstLineChars="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付款方式：</w:t>
      </w:r>
    </w:p>
    <w:p w14:paraId="28687175">
      <w:pPr>
        <w:pStyle w:val="46"/>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合同签署后成交供应商应在10日内开通服务，服务开通并完成验收合格后，采购人在收到成交供应商提供合同复印件、验收报告、发票等付款凭证后在45日内支付合同的全部金额。</w:t>
      </w:r>
      <w:bookmarkStart w:id="78" w:name="_GoBack"/>
      <w:bookmarkEnd w:id="78"/>
    </w:p>
    <w:p w14:paraId="03518975">
      <w:pPr>
        <w:pStyle w:val="46"/>
        <w:numPr>
          <w:ilvl w:val="0"/>
          <w:numId w:val="21"/>
        </w:numPr>
        <w:ind w:left="0" w:leftChars="0" w:firstLine="0" w:firstLineChars="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验收要求：</w:t>
      </w:r>
    </w:p>
    <w:p w14:paraId="59FDCC9B">
      <w:pPr>
        <w:pStyle w:val="7"/>
        <w:spacing w:line="360" w:lineRule="auto"/>
        <w:ind w:firstLine="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在该项目达到合同约定的验收条件后，标准应按照国家的相关规定要求（财政部关于进一步加强政府采购需求和履约验收管理的指导意见（财库【2016】205号）、市政务服务管理局《关于规范政务信息化项目建设方案编制审核验收管理工作的函》（绵政监函【2020】81号）、《绵阳市财政局关于进一步做好政府采购项目履约验收工作的通知》(绵财采〔2021〕15号)的要求）进行验收，验收内容应满足合同规定的技术要求。</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690"/>
      <w:bookmarkStart w:id="24" w:name="_Toc3274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17905"/>
      <w:bookmarkStart w:id="28" w:name="_Toc24123"/>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7135"/>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5056"/>
      <w:bookmarkStart w:id="36" w:name="_Toc19987"/>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21519"/>
      <w:bookmarkStart w:id="40" w:name="_Toc16029"/>
      <w:bookmarkStart w:id="41" w:name="_Toc11352"/>
      <w:bookmarkStart w:id="42" w:name="_Toc6482"/>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4305"/>
      <w:bookmarkStart w:id="46" w:name="_Toc17857"/>
      <w:bookmarkStart w:id="47" w:name="_Toc22676"/>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25357"/>
      <w:bookmarkStart w:id="54" w:name="_Toc13904"/>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27661"/>
      <w:bookmarkStart w:id="59" w:name="_Toc12015"/>
      <w:bookmarkStart w:id="60" w:name="_Toc11351"/>
      <w:bookmarkStart w:id="61" w:name="_Toc20589"/>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1074"/>
      <w:bookmarkStart w:id="65" w:name="_Toc26969"/>
      <w:bookmarkStart w:id="66" w:name="_Toc23967"/>
      <w:bookmarkStart w:id="67" w:name="_Toc2041"/>
      <w:bookmarkStart w:id="68" w:name="_Toc12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4014CAE-8030-4810-858E-DC54C1C8D8B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17E03A5-8706-4D41-AB06-5AE000E92E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15BA07E-B84B-45B7-80A1-25B8F51B48B5}"/>
  </w:font>
  <w:font w:name="仿宋">
    <w:panose1 w:val="02010609060101010101"/>
    <w:charset w:val="86"/>
    <w:family w:val="modern"/>
    <w:pitch w:val="default"/>
    <w:sig w:usb0="800002BF" w:usb1="38CF7CFA" w:usb2="00000016" w:usb3="00000000" w:csb0="00040001" w:csb1="00000000"/>
    <w:embedRegular r:id="rId4" w:fontKey="{99F01A3B-49E8-4BDB-93AF-28AB24C84D4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9FC1A937-BC36-4DA1-B9E0-4663319E2A74}"/>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EDFBBF3F"/>
    <w:multiLevelType w:val="singleLevel"/>
    <w:tmpl w:val="EDFBBF3F"/>
    <w:lvl w:ilvl="0" w:tentative="0">
      <w:start w:val="1"/>
      <w:numFmt w:val="chineseCounting"/>
      <w:suff w:val="nothing"/>
      <w:lvlText w:val="%1、"/>
      <w:lvlJc w:val="left"/>
      <w:rPr>
        <w:rFonts w:hint="eastAsia"/>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B898F8F"/>
    <w:multiLevelType w:val="singleLevel"/>
    <w:tmpl w:val="FB898F8F"/>
    <w:lvl w:ilvl="0" w:tentative="0">
      <w:start w:val="1"/>
      <w:numFmt w:val="decimal"/>
      <w:lvlText w:val="%1."/>
      <w:lvlJc w:val="left"/>
      <w:pPr>
        <w:ind w:left="425" w:hanging="425"/>
      </w:pPr>
      <w:rPr>
        <w:rFonts w:hint="default"/>
      </w:rPr>
    </w:lvl>
  </w:abstractNum>
  <w:abstractNum w:abstractNumId="12">
    <w:nsid w:val="FCA5E3A8"/>
    <w:multiLevelType w:val="singleLevel"/>
    <w:tmpl w:val="FCA5E3A8"/>
    <w:lvl w:ilvl="0" w:tentative="0">
      <w:start w:val="1"/>
      <w:numFmt w:val="decimal"/>
      <w:suff w:val="nothing"/>
      <w:lvlText w:val="（%1）"/>
      <w:lvlJc w:val="left"/>
      <w:pPr>
        <w:ind w:left="-210"/>
      </w:p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4D0661E"/>
    <w:multiLevelType w:val="singleLevel"/>
    <w:tmpl w:val="74D0661E"/>
    <w:lvl w:ilvl="0" w:tentative="0">
      <w:start w:val="1"/>
      <w:numFmt w:val="decimal"/>
      <w:lvlText w:val="%1."/>
      <w:lvlJc w:val="left"/>
      <w:pPr>
        <w:ind w:left="425" w:hanging="425"/>
      </w:pPr>
      <w:rPr>
        <w:rFonts w:hint="default"/>
      </w:rPr>
    </w:lvl>
  </w:abstractNum>
  <w:abstractNum w:abstractNumId="20">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0"/>
  </w:num>
  <w:num w:numId="3">
    <w:abstractNumId w:val="16"/>
  </w:num>
  <w:num w:numId="4">
    <w:abstractNumId w:val="20"/>
  </w:num>
  <w:num w:numId="5">
    <w:abstractNumId w:val="13"/>
  </w:num>
  <w:num w:numId="6">
    <w:abstractNumId w:val="18"/>
  </w:num>
  <w:num w:numId="7">
    <w:abstractNumId w:val="15"/>
  </w:num>
  <w:num w:numId="8">
    <w:abstractNumId w:val="9"/>
  </w:num>
  <w:num w:numId="9">
    <w:abstractNumId w:val="17"/>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2"/>
  </w:num>
  <w:num w:numId="18">
    <w:abstractNumId w:val="4"/>
  </w:num>
  <w:num w:numId="19">
    <w:abstractNumId w:val="8"/>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00672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66420B"/>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E593D"/>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82487D"/>
    <w:rsid w:val="47F36CDA"/>
    <w:rsid w:val="480756B2"/>
    <w:rsid w:val="483002E2"/>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1345</Words>
  <Characters>1428</Characters>
  <Lines>58</Lines>
  <Paragraphs>16</Paragraphs>
  <TotalTime>0</TotalTime>
  <ScaleCrop>false</ScaleCrop>
  <LinksUpToDate>false</LinksUpToDate>
  <CharactersWithSpaces>1510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2026-03-18T02:31:58Z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