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）00</w:t>
      </w:r>
      <w:r>
        <w:rPr>
          <w:rFonts w:hint="eastAsia" w:ascii="宋体" w:hAnsi="宋体"/>
          <w:b/>
          <w:color w:val="000000"/>
          <w:sz w:val="36"/>
          <w:lang w:val="en-US" w:eastAsia="zh-CN"/>
        </w:rPr>
        <w:t>9号</w:t>
      </w:r>
    </w:p>
    <w:p w14:paraId="4002C554">
      <w:pPr>
        <w:ind w:firstLine="723" w:firstLineChars="200"/>
        <w:rPr>
          <w:rFonts w:hint="eastAsia" w:ascii="宋体" w:hAnsi="宋体"/>
          <w:b/>
          <w:color w:val="000000"/>
          <w:sz w:val="36"/>
        </w:rPr>
      </w:pPr>
    </w:p>
    <w:p w14:paraId="250C7BBF">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阴茎硬度检测仪</w:t>
      </w:r>
    </w:p>
    <w:p w14:paraId="203576E3">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rPr>
      </w:pP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3</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阴茎硬度检测仪</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）00</w:t>
            </w:r>
            <w:r>
              <w:rPr>
                <w:rFonts w:hint="eastAsia" w:ascii="仿宋" w:hAnsi="仿宋" w:eastAsia="仿宋" w:cs="仿宋"/>
                <w:sz w:val="22"/>
                <w:lang w:val="en-US" w:eastAsia="zh-CN"/>
              </w:rPr>
              <w:t>9号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25万元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李老师 15881650086</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19400"/>
      <w:bookmarkStart w:id="3" w:name="_Toc28050"/>
      <w:bookmarkStart w:id="4" w:name="_Toc5431"/>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1DC03A3">
            <w:pPr>
              <w:pStyle w:val="27"/>
              <w:numPr>
                <w:ilvl w:val="0"/>
                <w:numId w:val="18"/>
              </w:numPr>
              <w:spacing w:line="240" w:lineRule="exact"/>
              <w:ind w:firstLine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投标人需具备医疗器械经营许可证或备案凭证。</w:t>
            </w:r>
          </w:p>
          <w:p w14:paraId="68B0E924">
            <w:pPr>
              <w:pStyle w:val="27"/>
              <w:numPr>
                <w:ilvl w:val="0"/>
                <w:numId w:val="18"/>
              </w:numPr>
              <w:spacing w:line="240" w:lineRule="exact"/>
              <w:ind w:firstLine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生产厂家具备医疗器械生产许可证。</w:t>
            </w:r>
          </w:p>
          <w:p w14:paraId="6331FF86">
            <w:pPr>
              <w:jc w:val="left"/>
              <w:rPr>
                <w:rFonts w:hint="eastAsia" w:ascii="仿宋" w:hAnsi="仿宋" w:eastAsia="仿宋" w:cs="仿宋"/>
                <w:sz w:val="22"/>
                <w:lang w:val="en-US" w:eastAsia="zh-CN"/>
              </w:rPr>
            </w:pPr>
            <w:r>
              <w:rPr>
                <w:rFonts w:hint="eastAsia" w:ascii="仿宋" w:hAnsi="仿宋" w:eastAsia="仿宋" w:cs="仿宋"/>
                <w:kern w:val="2"/>
                <w:sz w:val="22"/>
                <w:szCs w:val="22"/>
                <w:lang w:val="en-US" w:eastAsia="zh-CN" w:bidi="ar-SA"/>
              </w:rPr>
              <w:t>3.产品需具备中华人民共和国医疗器械注册证或备案。</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193"/>
      <w:bookmarkStart w:id="6" w:name="_Toc3988"/>
      <w:bookmarkStart w:id="7" w:name="_Toc1266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9"/>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480" w:firstLineChars="200"/>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绵阳市中心医院生殖医学中心开展工作需要，需</w:t>
      </w:r>
      <w:r>
        <w:rPr>
          <w:rFonts w:hint="eastAsia"/>
          <w:kern w:val="0"/>
          <w:sz w:val="24"/>
          <w:szCs w:val="24"/>
          <w:lang w:val="en-US" w:eastAsia="zh-CN"/>
        </w:rPr>
        <w:t>购买1套阴茎硬度检测仪。</w:t>
      </w:r>
    </w:p>
    <w:p w14:paraId="29B914A7">
      <w:pPr>
        <w:numPr>
          <w:ilvl w:val="0"/>
          <w:numId w:val="19"/>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3CF14E5F">
      <w:pPr>
        <w:pStyle w:val="47"/>
        <w:numPr>
          <w:ilvl w:val="0"/>
          <w:numId w:val="20"/>
        </w:numPr>
        <w:spacing w:line="360" w:lineRule="auto"/>
        <w:ind w:left="425" w:leftChars="0" w:hanging="425" w:firstLineChars="0"/>
        <w:jc w:val="both"/>
        <w:rPr>
          <w:rFonts w:hint="eastAsia" w:ascii="宋体" w:hAnsi="宋体" w:eastAsia="宋体" w:cs="宋体"/>
          <w:sz w:val="24"/>
          <w:szCs w:val="24"/>
        </w:rPr>
      </w:pPr>
      <w:r>
        <w:rPr>
          <w:rFonts w:hint="eastAsia" w:ascii="宋体" w:hAnsi="宋体" w:eastAsia="宋体" w:cs="宋体"/>
          <w:sz w:val="24"/>
          <w:szCs w:val="24"/>
          <w:lang w:val="en-US" w:eastAsia="zh-CN"/>
        </w:rPr>
        <w:t>具</w:t>
      </w:r>
      <w:r>
        <w:rPr>
          <w:rFonts w:hint="eastAsia" w:ascii="宋体" w:hAnsi="宋体" w:eastAsia="宋体" w:cs="宋体"/>
          <w:sz w:val="24"/>
          <w:szCs w:val="24"/>
        </w:rPr>
        <w:t>有鉴别心理性ED和器质性ED功能。</w:t>
      </w:r>
    </w:p>
    <w:p w14:paraId="3A986362">
      <w:pPr>
        <w:pStyle w:val="47"/>
        <w:numPr>
          <w:ilvl w:val="0"/>
          <w:numId w:val="20"/>
        </w:numPr>
        <w:spacing w:line="360" w:lineRule="auto"/>
        <w:ind w:left="425" w:leftChars="0" w:hanging="425" w:firstLineChars="0"/>
        <w:jc w:val="both"/>
        <w:rPr>
          <w:rFonts w:hint="eastAsia" w:ascii="宋体" w:hAnsi="宋体" w:eastAsia="宋体" w:cs="宋体"/>
          <w:sz w:val="24"/>
          <w:szCs w:val="24"/>
        </w:rPr>
      </w:pPr>
      <w:r>
        <w:rPr>
          <w:rFonts w:hint="eastAsia" w:ascii="宋体" w:hAnsi="宋体" w:eastAsia="宋体" w:cs="宋体"/>
          <w:sz w:val="24"/>
          <w:szCs w:val="24"/>
        </w:rPr>
        <w:t>具有夜间勃起测定功能（NPTR）</w:t>
      </w:r>
      <w:r>
        <w:rPr>
          <w:rFonts w:hint="eastAsia" w:ascii="宋体" w:hAnsi="宋体" w:eastAsia="宋体" w:cs="宋体"/>
          <w:sz w:val="24"/>
          <w:szCs w:val="24"/>
          <w:lang w:val="en-US" w:eastAsia="zh-CN"/>
        </w:rPr>
        <w:t>及</w:t>
      </w:r>
      <w:r>
        <w:rPr>
          <w:rFonts w:hint="eastAsia" w:ascii="宋体" w:hAnsi="宋体" w:eastAsia="宋体" w:cs="宋体"/>
          <w:sz w:val="24"/>
          <w:szCs w:val="24"/>
        </w:rPr>
        <w:t>视听刺激（AVSS)</w:t>
      </w:r>
      <w:r>
        <w:rPr>
          <w:rFonts w:hint="eastAsia" w:ascii="宋体" w:hAnsi="宋体" w:eastAsia="宋体" w:cs="宋体"/>
          <w:sz w:val="24"/>
          <w:szCs w:val="24"/>
          <w:lang w:val="en-US" w:eastAsia="zh-CN"/>
        </w:rPr>
        <w:t>功能，</w:t>
      </w:r>
      <w:r>
        <w:rPr>
          <w:rFonts w:hint="eastAsia" w:ascii="宋体" w:hAnsi="宋体" w:eastAsia="宋体" w:cs="宋体"/>
          <w:sz w:val="24"/>
          <w:szCs w:val="24"/>
        </w:rPr>
        <w:t>实时检测阴茎勃起及其硬度功能</w:t>
      </w:r>
      <w:r>
        <w:rPr>
          <w:rFonts w:hint="eastAsia" w:ascii="宋体" w:hAnsi="宋体" w:eastAsia="宋体" w:cs="宋体"/>
          <w:sz w:val="24"/>
          <w:szCs w:val="24"/>
          <w:lang w:eastAsia="zh-CN"/>
        </w:rPr>
        <w:t>，</w:t>
      </w:r>
      <w:r>
        <w:rPr>
          <w:rFonts w:hint="eastAsia" w:ascii="宋体" w:hAnsi="宋体" w:eastAsia="宋体" w:cs="宋体"/>
          <w:sz w:val="24"/>
          <w:szCs w:val="24"/>
        </w:rPr>
        <w:t>有获取阴茎勃起后的硬度、周径、阴茎勃起次数、持续时间数据功能。</w:t>
      </w:r>
    </w:p>
    <w:p w14:paraId="710DE3FA">
      <w:pPr>
        <w:pStyle w:val="47"/>
        <w:numPr>
          <w:ilvl w:val="0"/>
          <w:numId w:val="20"/>
        </w:numPr>
        <w:spacing w:line="360" w:lineRule="auto"/>
        <w:ind w:left="425" w:leftChars="0" w:hanging="425" w:firstLineChars="0"/>
        <w:jc w:val="both"/>
        <w:rPr>
          <w:rFonts w:hint="eastAsia" w:ascii="宋体" w:hAnsi="宋体" w:eastAsia="宋体" w:cs="宋体"/>
          <w:sz w:val="24"/>
          <w:szCs w:val="24"/>
        </w:rPr>
      </w:pPr>
      <w:r>
        <w:rPr>
          <w:rFonts w:hint="eastAsia" w:ascii="宋体" w:hAnsi="宋体" w:eastAsia="宋体" w:cs="宋体"/>
          <w:sz w:val="24"/>
          <w:szCs w:val="24"/>
        </w:rPr>
        <w:t>可连续纪录并定量分析患者在夜间自然睡眠环境下阴茎勃起的次数、持续时间、周径、硬度等功能。</w:t>
      </w:r>
    </w:p>
    <w:p w14:paraId="51A631A4">
      <w:pPr>
        <w:pStyle w:val="47"/>
        <w:numPr>
          <w:ilvl w:val="0"/>
          <w:numId w:val="20"/>
        </w:numPr>
        <w:spacing w:line="360" w:lineRule="auto"/>
        <w:ind w:left="425" w:leftChars="0" w:hanging="425"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具备触摸屏，能直接输入信息和操作检测，检测中途可暂停，屏幕可直接观看操作使用视频。</w:t>
      </w:r>
    </w:p>
    <w:p w14:paraId="1C026694">
      <w:pPr>
        <w:pStyle w:val="47"/>
        <w:numPr>
          <w:ilvl w:val="0"/>
          <w:numId w:val="20"/>
        </w:numPr>
        <w:spacing w:line="360" w:lineRule="auto"/>
        <w:ind w:left="425" w:leftChars="0" w:hanging="425" w:firstLineChars="0"/>
        <w:jc w:val="both"/>
        <w:rPr>
          <w:rFonts w:hint="eastAsia" w:ascii="宋体" w:hAnsi="宋体" w:eastAsia="宋体" w:cs="宋体"/>
          <w:sz w:val="24"/>
          <w:szCs w:val="24"/>
        </w:rPr>
      </w:pPr>
      <w:r>
        <w:rPr>
          <w:rFonts w:hint="eastAsia" w:ascii="宋体" w:hAnsi="宋体" w:eastAsia="宋体" w:cs="宋体"/>
          <w:sz w:val="24"/>
          <w:szCs w:val="24"/>
        </w:rPr>
        <w:t>能够评估勃起功能障碍治疗的效果、能够指导勃起功能障碍治疗用药量。</w:t>
      </w:r>
    </w:p>
    <w:p w14:paraId="417A4AA4">
      <w:pPr>
        <w:pStyle w:val="47"/>
        <w:numPr>
          <w:ilvl w:val="0"/>
          <w:numId w:val="20"/>
        </w:numPr>
        <w:spacing w:line="360" w:lineRule="auto"/>
        <w:ind w:left="425" w:leftChars="0" w:hanging="425" w:firstLineChars="0"/>
        <w:jc w:val="both"/>
        <w:rPr>
          <w:rFonts w:hint="eastAsia" w:ascii="宋体" w:hAnsi="宋体" w:eastAsia="宋体" w:cs="宋体"/>
          <w:sz w:val="24"/>
          <w:szCs w:val="24"/>
        </w:rPr>
      </w:pPr>
      <w:r>
        <w:rPr>
          <w:rFonts w:hint="eastAsia" w:ascii="宋体" w:hAnsi="宋体" w:eastAsia="宋体" w:cs="宋体"/>
          <w:sz w:val="24"/>
          <w:szCs w:val="24"/>
          <w:lang w:val="en-US" w:eastAsia="zh-CN"/>
        </w:rPr>
        <w:t>设备</w:t>
      </w:r>
      <w:r>
        <w:rPr>
          <w:rFonts w:hint="eastAsia" w:ascii="宋体" w:hAnsi="宋体" w:eastAsia="宋体" w:cs="宋体"/>
          <w:sz w:val="24"/>
          <w:szCs w:val="24"/>
        </w:rPr>
        <w:t>所测数据能被国家公安部和司法部作为阴茎勃起功能障碍司法鉴定和伤残鉴定的评判依据。</w:t>
      </w:r>
    </w:p>
    <w:p w14:paraId="7221CB51">
      <w:pPr>
        <w:pStyle w:val="47"/>
        <w:numPr>
          <w:ilvl w:val="0"/>
          <w:numId w:val="20"/>
        </w:numPr>
        <w:spacing w:line="360" w:lineRule="auto"/>
        <w:ind w:left="425" w:leftChars="0" w:hanging="425" w:firstLineChars="0"/>
        <w:jc w:val="both"/>
        <w:rPr>
          <w:rFonts w:hint="eastAsia" w:ascii="宋体" w:hAnsi="宋体" w:eastAsia="宋体" w:cs="宋体"/>
          <w:sz w:val="24"/>
          <w:szCs w:val="24"/>
        </w:rPr>
      </w:pPr>
      <w:r>
        <w:rPr>
          <w:rFonts w:hint="eastAsia" w:ascii="宋体" w:hAnsi="宋体" w:eastAsia="宋体" w:cs="宋体"/>
          <w:sz w:val="24"/>
          <w:szCs w:val="24"/>
        </w:rPr>
        <w:t>阴茎勃起次数：0～100次</w:t>
      </w:r>
      <w:r>
        <w:rPr>
          <w:rFonts w:hint="eastAsia" w:ascii="宋体" w:hAnsi="宋体" w:eastAsia="宋体" w:cs="宋体"/>
          <w:sz w:val="24"/>
          <w:szCs w:val="24"/>
          <w:lang w:eastAsia="zh-CN"/>
        </w:rPr>
        <w:t>。</w:t>
      </w:r>
    </w:p>
    <w:p w14:paraId="702318C7">
      <w:pPr>
        <w:pStyle w:val="47"/>
        <w:numPr>
          <w:ilvl w:val="0"/>
          <w:numId w:val="20"/>
        </w:numPr>
        <w:spacing w:line="360" w:lineRule="auto"/>
        <w:ind w:left="425" w:leftChars="0" w:hanging="425" w:firstLineChars="0"/>
        <w:jc w:val="both"/>
        <w:rPr>
          <w:rFonts w:hint="eastAsia" w:ascii="宋体" w:hAnsi="宋体" w:eastAsia="宋体" w:cs="宋体"/>
          <w:sz w:val="24"/>
          <w:szCs w:val="24"/>
        </w:rPr>
      </w:pPr>
      <w:r>
        <w:rPr>
          <w:rFonts w:hint="eastAsia" w:ascii="宋体" w:hAnsi="宋体" w:eastAsia="宋体" w:cs="宋体"/>
          <w:sz w:val="24"/>
          <w:szCs w:val="24"/>
        </w:rPr>
        <w:t>阴茎勃起时间：0～600分钟</w:t>
      </w:r>
      <w:r>
        <w:rPr>
          <w:rFonts w:hint="eastAsia" w:ascii="宋体" w:hAnsi="宋体" w:eastAsia="宋体" w:cs="宋体"/>
          <w:sz w:val="24"/>
          <w:szCs w:val="24"/>
          <w:lang w:eastAsia="zh-CN"/>
        </w:rPr>
        <w:t>。</w:t>
      </w:r>
    </w:p>
    <w:p w14:paraId="428539D1">
      <w:pPr>
        <w:pStyle w:val="47"/>
        <w:numPr>
          <w:ilvl w:val="0"/>
          <w:numId w:val="20"/>
        </w:numPr>
        <w:spacing w:line="360" w:lineRule="auto"/>
        <w:ind w:left="425" w:leftChars="0" w:hanging="425" w:firstLineChars="0"/>
        <w:jc w:val="both"/>
        <w:rPr>
          <w:rFonts w:hint="eastAsia" w:ascii="宋体" w:hAnsi="宋体" w:eastAsia="宋体" w:cs="宋体"/>
          <w:sz w:val="24"/>
          <w:szCs w:val="24"/>
        </w:rPr>
      </w:pPr>
      <w:r>
        <w:rPr>
          <w:rFonts w:hint="eastAsia" w:ascii="宋体" w:hAnsi="宋体" w:eastAsia="宋体" w:cs="宋体"/>
          <w:sz w:val="24"/>
          <w:szCs w:val="24"/>
        </w:rPr>
        <w:t>阴茎肿胀度：5cm～15cm</w:t>
      </w:r>
      <w:r>
        <w:rPr>
          <w:rFonts w:hint="eastAsia" w:ascii="宋体" w:hAnsi="宋体" w:eastAsia="宋体" w:cs="宋体"/>
          <w:sz w:val="24"/>
          <w:szCs w:val="24"/>
          <w:lang w:eastAsia="zh-CN"/>
        </w:rPr>
        <w:t>。</w:t>
      </w:r>
    </w:p>
    <w:p w14:paraId="70B7A674">
      <w:pPr>
        <w:pStyle w:val="47"/>
        <w:numPr>
          <w:ilvl w:val="0"/>
          <w:numId w:val="20"/>
        </w:numPr>
        <w:spacing w:line="360" w:lineRule="auto"/>
        <w:ind w:left="425" w:leftChars="0" w:hanging="425" w:firstLineChars="0"/>
        <w:jc w:val="both"/>
        <w:rPr>
          <w:rFonts w:hint="eastAsia" w:ascii="宋体" w:hAnsi="宋体" w:eastAsia="宋体" w:cs="宋体"/>
          <w:sz w:val="24"/>
          <w:szCs w:val="24"/>
        </w:rPr>
      </w:pPr>
      <w:r>
        <w:rPr>
          <w:rFonts w:hint="eastAsia" w:ascii="宋体" w:hAnsi="宋体" w:eastAsia="宋体" w:cs="宋体"/>
          <w:sz w:val="24"/>
          <w:szCs w:val="24"/>
        </w:rPr>
        <w:t>阴茎硬度：0%～100%</w:t>
      </w:r>
      <w:r>
        <w:rPr>
          <w:rFonts w:hint="eastAsia" w:ascii="宋体" w:hAnsi="宋体" w:eastAsia="宋体" w:cs="宋体"/>
          <w:sz w:val="24"/>
          <w:szCs w:val="24"/>
          <w:lang w:eastAsia="zh-CN"/>
        </w:rPr>
        <w:t>。</w:t>
      </w:r>
    </w:p>
    <w:p w14:paraId="17101477">
      <w:pPr>
        <w:pStyle w:val="47"/>
        <w:numPr>
          <w:ilvl w:val="0"/>
          <w:numId w:val="20"/>
        </w:numPr>
        <w:spacing w:line="360" w:lineRule="auto"/>
        <w:ind w:left="425" w:leftChars="0" w:hanging="425" w:firstLineChars="0"/>
        <w:jc w:val="both"/>
        <w:rPr>
          <w:rFonts w:hint="eastAsia" w:ascii="宋体" w:hAnsi="宋体" w:eastAsia="宋体" w:cs="宋体"/>
          <w:sz w:val="24"/>
          <w:szCs w:val="24"/>
        </w:rPr>
      </w:pPr>
      <w:r>
        <w:rPr>
          <w:rFonts w:hint="eastAsia" w:ascii="宋体" w:hAnsi="宋体" w:eastAsia="宋体" w:cs="宋体"/>
          <w:sz w:val="24"/>
          <w:szCs w:val="24"/>
        </w:rPr>
        <w:t>内置可充电电池。</w:t>
      </w:r>
    </w:p>
    <w:p w14:paraId="200174D4">
      <w:pPr>
        <w:pStyle w:val="47"/>
        <w:numPr>
          <w:ilvl w:val="0"/>
          <w:numId w:val="20"/>
        </w:numPr>
        <w:spacing w:line="360" w:lineRule="auto"/>
        <w:ind w:left="425" w:leftChars="0" w:hanging="425" w:firstLineChars="0"/>
        <w:jc w:val="both"/>
        <w:rPr>
          <w:rFonts w:hint="eastAsia" w:ascii="宋体" w:hAnsi="宋体" w:eastAsia="宋体" w:cs="宋体"/>
          <w:sz w:val="24"/>
          <w:szCs w:val="24"/>
        </w:rPr>
      </w:pPr>
      <w:r>
        <w:rPr>
          <w:rFonts w:hint="eastAsia" w:ascii="宋体" w:hAnsi="宋体" w:eastAsia="宋体" w:cs="宋体"/>
          <w:sz w:val="24"/>
          <w:szCs w:val="24"/>
        </w:rPr>
        <w:t>数据存储方式：由阴茎硬度测量仪存储，输出时可由电脑主机存储调用，也可在阴茎硬度测量仪主机上调用。</w:t>
      </w:r>
    </w:p>
    <w:p w14:paraId="5BB0B356">
      <w:pPr>
        <w:pStyle w:val="47"/>
        <w:numPr>
          <w:ilvl w:val="0"/>
          <w:numId w:val="20"/>
        </w:numPr>
        <w:spacing w:line="360" w:lineRule="auto"/>
        <w:ind w:left="425" w:leftChars="0" w:hanging="425" w:firstLineChars="0"/>
        <w:jc w:val="both"/>
        <w:rPr>
          <w:rFonts w:hint="eastAsia" w:ascii="宋体" w:hAnsi="宋体" w:eastAsia="宋体" w:cs="宋体"/>
          <w:sz w:val="24"/>
          <w:szCs w:val="24"/>
        </w:rPr>
      </w:pPr>
      <w:r>
        <w:rPr>
          <w:rFonts w:hint="eastAsia" w:ascii="宋体" w:hAnsi="宋体" w:eastAsia="宋体" w:cs="宋体"/>
          <w:sz w:val="24"/>
          <w:szCs w:val="24"/>
        </w:rPr>
        <w:t>数据传输方式：阴茎硬度测量仪主机通过USB接口与电脑进行数据传输</w:t>
      </w:r>
      <w:r>
        <w:rPr>
          <w:rFonts w:hint="eastAsia" w:ascii="宋体" w:hAnsi="宋体" w:eastAsia="宋体" w:cs="宋体"/>
          <w:sz w:val="24"/>
          <w:szCs w:val="24"/>
          <w:lang w:eastAsia="zh-CN"/>
        </w:rPr>
        <w:t>。</w:t>
      </w:r>
    </w:p>
    <w:p w14:paraId="57CFB047">
      <w:pPr>
        <w:pStyle w:val="47"/>
        <w:numPr>
          <w:ilvl w:val="0"/>
          <w:numId w:val="20"/>
        </w:numPr>
        <w:spacing w:line="360" w:lineRule="auto"/>
        <w:ind w:left="425" w:leftChars="0" w:hanging="425" w:firstLineChars="0"/>
        <w:jc w:val="both"/>
        <w:rPr>
          <w:rFonts w:hint="eastAsia" w:ascii="宋体" w:hAnsi="宋体" w:eastAsia="宋体" w:cs="宋体"/>
          <w:sz w:val="24"/>
          <w:szCs w:val="24"/>
        </w:rPr>
      </w:pPr>
      <w:r>
        <w:rPr>
          <w:rFonts w:hint="eastAsia" w:ascii="宋体" w:hAnsi="宋体" w:eastAsia="宋体" w:cs="宋体"/>
          <w:sz w:val="24"/>
          <w:szCs w:val="24"/>
        </w:rPr>
        <w:t>传输的数据：</w:t>
      </w:r>
      <w:r>
        <w:rPr>
          <w:rFonts w:hint="eastAsia" w:ascii="宋体" w:hAnsi="宋体" w:eastAsia="宋体" w:cs="宋体"/>
          <w:sz w:val="24"/>
          <w:szCs w:val="24"/>
          <w:lang w:val="en-US" w:eastAsia="zh-CN"/>
        </w:rPr>
        <w:t>包括</w:t>
      </w:r>
      <w:r>
        <w:rPr>
          <w:rFonts w:hint="eastAsia" w:ascii="宋体" w:hAnsi="宋体" w:eastAsia="宋体" w:cs="宋体"/>
          <w:sz w:val="24"/>
          <w:szCs w:val="24"/>
        </w:rPr>
        <w:t>阴茎头部与根部的硬度值、周径变化数值</w:t>
      </w:r>
      <w:r>
        <w:rPr>
          <w:rFonts w:hint="eastAsia" w:ascii="宋体" w:hAnsi="宋体" w:eastAsia="宋体" w:cs="宋体"/>
          <w:sz w:val="24"/>
          <w:szCs w:val="24"/>
          <w:lang w:eastAsia="zh-CN"/>
        </w:rPr>
        <w:t>。</w:t>
      </w:r>
    </w:p>
    <w:p w14:paraId="34994D69">
      <w:pPr>
        <w:pStyle w:val="47"/>
        <w:numPr>
          <w:ilvl w:val="0"/>
          <w:numId w:val="20"/>
        </w:numPr>
        <w:spacing w:line="360" w:lineRule="auto"/>
        <w:ind w:left="425" w:leftChars="0" w:hanging="425" w:firstLineChars="0"/>
        <w:jc w:val="both"/>
        <w:rPr>
          <w:rFonts w:hint="eastAsia" w:ascii="宋体" w:hAnsi="宋体" w:eastAsia="宋体" w:cs="宋体"/>
          <w:sz w:val="24"/>
          <w:szCs w:val="24"/>
        </w:rPr>
      </w:pPr>
      <w:r>
        <w:rPr>
          <w:rFonts w:hint="eastAsia" w:ascii="宋体" w:hAnsi="宋体" w:eastAsia="宋体" w:cs="宋体"/>
          <w:sz w:val="24"/>
          <w:szCs w:val="24"/>
        </w:rPr>
        <w:t>打印报告波型图：</w:t>
      </w:r>
      <w:r>
        <w:rPr>
          <w:rFonts w:hint="eastAsia" w:ascii="宋体" w:hAnsi="宋体" w:eastAsia="宋体" w:cs="宋体"/>
          <w:sz w:val="24"/>
          <w:szCs w:val="24"/>
          <w:lang w:val="en-US" w:eastAsia="zh-CN"/>
        </w:rPr>
        <w:t>包括</w:t>
      </w:r>
      <w:r>
        <w:rPr>
          <w:rFonts w:hint="eastAsia" w:ascii="宋体" w:hAnsi="宋体" w:eastAsia="宋体" w:cs="宋体"/>
          <w:sz w:val="24"/>
          <w:szCs w:val="24"/>
        </w:rPr>
        <w:t>阴茎头部硬度波形、阴茎根部硬度波形、阴茎头部胀大度波形、阴茎根部胀大度波形</w:t>
      </w:r>
      <w:r>
        <w:rPr>
          <w:rFonts w:hint="eastAsia" w:ascii="宋体" w:hAnsi="宋体" w:eastAsia="宋体" w:cs="宋体"/>
          <w:sz w:val="24"/>
          <w:szCs w:val="24"/>
          <w:lang w:val="en-US" w:eastAsia="zh-CN"/>
        </w:rPr>
        <w:t>等</w:t>
      </w:r>
      <w:r>
        <w:rPr>
          <w:rFonts w:hint="eastAsia" w:ascii="宋体" w:hAnsi="宋体" w:eastAsia="宋体" w:cs="宋体"/>
          <w:sz w:val="24"/>
          <w:szCs w:val="24"/>
          <w:lang w:eastAsia="zh-CN"/>
        </w:rPr>
        <w:t>。</w:t>
      </w:r>
    </w:p>
    <w:p w14:paraId="70D97FCE">
      <w:pPr>
        <w:pStyle w:val="47"/>
        <w:numPr>
          <w:ilvl w:val="0"/>
          <w:numId w:val="20"/>
        </w:numPr>
        <w:spacing w:line="360" w:lineRule="auto"/>
        <w:ind w:left="425" w:leftChars="0" w:hanging="425" w:firstLineChars="0"/>
        <w:jc w:val="both"/>
        <w:rPr>
          <w:rFonts w:hint="eastAsia" w:ascii="宋体" w:hAnsi="宋体" w:eastAsia="宋体" w:cs="宋体"/>
          <w:sz w:val="24"/>
          <w:szCs w:val="24"/>
        </w:rPr>
      </w:pPr>
      <w:r>
        <w:rPr>
          <w:rFonts w:hint="eastAsia" w:ascii="宋体" w:hAnsi="宋体" w:eastAsia="宋体" w:cs="宋体"/>
          <w:sz w:val="24"/>
          <w:szCs w:val="24"/>
        </w:rPr>
        <w:t>打印输出：可以打印测量分析结果和病历档案，每项检测都能出具具体检测报告。</w:t>
      </w:r>
    </w:p>
    <w:p w14:paraId="752123CD">
      <w:pPr>
        <w:pStyle w:val="47"/>
        <w:numPr>
          <w:ilvl w:val="0"/>
          <w:numId w:val="20"/>
        </w:numPr>
        <w:spacing w:line="360" w:lineRule="auto"/>
        <w:ind w:left="425" w:leftChars="0" w:hanging="425" w:firstLineChars="0"/>
        <w:jc w:val="both"/>
        <w:rPr>
          <w:rFonts w:hint="eastAsia" w:ascii="宋体" w:hAnsi="宋体" w:eastAsia="宋体" w:cs="宋体"/>
          <w:sz w:val="24"/>
          <w:szCs w:val="24"/>
        </w:rPr>
      </w:pPr>
      <w:r>
        <w:rPr>
          <w:rFonts w:hint="eastAsia" w:ascii="宋体" w:hAnsi="宋体" w:eastAsia="宋体" w:cs="宋体"/>
          <w:sz w:val="24"/>
          <w:szCs w:val="24"/>
        </w:rPr>
        <w:t>病人数据管理软件支持WINDOWS</w:t>
      </w:r>
      <w:r>
        <w:rPr>
          <w:rFonts w:hint="eastAsia" w:ascii="宋体" w:hAnsi="宋体" w:eastAsia="宋体" w:cs="宋体"/>
          <w:sz w:val="24"/>
          <w:szCs w:val="24"/>
          <w:lang w:val="en-US" w:eastAsia="zh-CN"/>
        </w:rPr>
        <w:t>操作系统。</w:t>
      </w:r>
    </w:p>
    <w:p w14:paraId="6D4666BC">
      <w:pPr>
        <w:pStyle w:val="47"/>
        <w:numPr>
          <w:ilvl w:val="0"/>
          <w:numId w:val="20"/>
        </w:numPr>
        <w:spacing w:line="360" w:lineRule="auto"/>
        <w:ind w:left="425" w:leftChars="0" w:hanging="425" w:firstLineChars="0"/>
        <w:jc w:val="both"/>
        <w:rPr>
          <w:rFonts w:hint="eastAsia" w:ascii="宋体" w:hAnsi="宋体" w:eastAsia="宋体" w:cs="宋体"/>
          <w:sz w:val="24"/>
          <w:szCs w:val="24"/>
        </w:rPr>
      </w:pPr>
      <w:r>
        <w:rPr>
          <w:rFonts w:hint="eastAsia" w:ascii="宋体" w:hAnsi="宋体" w:eastAsia="宋体" w:cs="宋体"/>
          <w:sz w:val="24"/>
          <w:szCs w:val="24"/>
        </w:rPr>
        <w:t>病人数据管理软件可以进行数据备份</w:t>
      </w:r>
      <w:r>
        <w:rPr>
          <w:rFonts w:hint="eastAsia" w:ascii="宋体" w:hAnsi="宋体" w:eastAsia="宋体" w:cs="宋体"/>
          <w:sz w:val="24"/>
          <w:szCs w:val="24"/>
          <w:lang w:eastAsia="zh-CN"/>
        </w:rPr>
        <w:t>。</w:t>
      </w:r>
    </w:p>
    <w:p w14:paraId="0DE2E88F">
      <w:pPr>
        <w:pStyle w:val="47"/>
        <w:numPr>
          <w:ilvl w:val="0"/>
          <w:numId w:val="20"/>
        </w:numPr>
        <w:spacing w:line="360" w:lineRule="auto"/>
        <w:ind w:left="425" w:leftChars="0" w:hanging="425" w:firstLineChars="0"/>
        <w:jc w:val="both"/>
        <w:rPr>
          <w:rFonts w:hint="eastAsia" w:ascii="宋体" w:hAnsi="宋体" w:eastAsia="宋体" w:cs="宋体"/>
          <w:sz w:val="24"/>
          <w:szCs w:val="24"/>
        </w:rPr>
      </w:pPr>
      <w:r>
        <w:rPr>
          <w:rFonts w:hint="eastAsia" w:ascii="宋体" w:hAnsi="宋体" w:eastAsia="宋体" w:cs="宋体"/>
          <w:sz w:val="24"/>
          <w:szCs w:val="24"/>
        </w:rPr>
        <w:t>病人数据管理软件可以管理病人的治疗方法、使用的药物以及假体信息</w:t>
      </w:r>
      <w:r>
        <w:rPr>
          <w:rFonts w:hint="eastAsia" w:ascii="宋体" w:hAnsi="宋体" w:eastAsia="宋体" w:cs="宋体"/>
          <w:sz w:val="24"/>
          <w:szCs w:val="24"/>
          <w:lang w:eastAsia="zh-CN"/>
        </w:rPr>
        <w:t>。</w:t>
      </w:r>
    </w:p>
    <w:p w14:paraId="2429E285">
      <w:pPr>
        <w:pStyle w:val="47"/>
        <w:numPr>
          <w:ilvl w:val="0"/>
          <w:numId w:val="20"/>
        </w:numPr>
        <w:spacing w:line="360" w:lineRule="auto"/>
        <w:ind w:left="425" w:leftChars="0" w:hanging="425" w:firstLineChars="0"/>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rPr>
        <w:t>配置：阴茎硬度</w:t>
      </w:r>
      <w:r>
        <w:rPr>
          <w:rFonts w:hint="eastAsia" w:ascii="宋体" w:hAnsi="宋体" w:eastAsia="宋体" w:cs="宋体"/>
          <w:sz w:val="24"/>
          <w:szCs w:val="24"/>
          <w:lang w:val="en-US" w:eastAsia="zh-CN"/>
        </w:rPr>
        <w:t>检测</w:t>
      </w:r>
      <w:r>
        <w:rPr>
          <w:rFonts w:hint="eastAsia" w:ascii="宋体" w:hAnsi="宋体" w:eastAsia="宋体" w:cs="宋体"/>
          <w:sz w:val="24"/>
          <w:szCs w:val="24"/>
        </w:rPr>
        <w:t>仪主机1台</w:t>
      </w:r>
      <w:r>
        <w:rPr>
          <w:rFonts w:hint="eastAsia" w:ascii="宋体" w:hAnsi="宋体" w:eastAsia="宋体" w:cs="宋体"/>
          <w:sz w:val="24"/>
          <w:szCs w:val="24"/>
          <w:lang w:eastAsia="zh-CN"/>
        </w:rPr>
        <w:t>、</w:t>
      </w:r>
      <w:r>
        <w:rPr>
          <w:rFonts w:hint="eastAsia" w:ascii="宋体" w:hAnsi="宋体" w:eastAsia="宋体" w:cs="宋体"/>
          <w:sz w:val="24"/>
          <w:szCs w:val="24"/>
        </w:rPr>
        <w:t>头部医用钢丝捻紧器1根</w:t>
      </w:r>
      <w:r>
        <w:rPr>
          <w:rFonts w:hint="eastAsia" w:ascii="宋体" w:hAnsi="宋体" w:eastAsia="宋体" w:cs="宋体"/>
          <w:sz w:val="24"/>
          <w:szCs w:val="24"/>
          <w:lang w:eastAsia="zh-CN"/>
        </w:rPr>
        <w:t>、</w:t>
      </w:r>
      <w:r>
        <w:rPr>
          <w:rFonts w:hint="eastAsia" w:ascii="宋体" w:hAnsi="宋体" w:eastAsia="宋体" w:cs="宋体"/>
          <w:sz w:val="24"/>
          <w:szCs w:val="24"/>
        </w:rPr>
        <w:t>根部医用钢丝捻紧器1根</w:t>
      </w:r>
      <w:r>
        <w:rPr>
          <w:rFonts w:hint="eastAsia" w:ascii="宋体" w:hAnsi="宋体" w:eastAsia="宋体" w:cs="宋体"/>
          <w:sz w:val="24"/>
          <w:szCs w:val="24"/>
          <w:lang w:eastAsia="zh-CN"/>
        </w:rPr>
        <w:t>、</w:t>
      </w:r>
      <w:r>
        <w:rPr>
          <w:rFonts w:hint="eastAsia" w:ascii="宋体" w:hAnsi="宋体" w:eastAsia="宋体" w:cs="宋体"/>
          <w:sz w:val="24"/>
          <w:szCs w:val="24"/>
        </w:rPr>
        <w:t>弹力套</w:t>
      </w:r>
      <w:r>
        <w:rPr>
          <w:rFonts w:hint="eastAsia" w:ascii="宋体" w:hAnsi="宋体" w:eastAsia="宋体" w:cs="宋体"/>
          <w:sz w:val="24"/>
          <w:szCs w:val="24"/>
          <w:lang w:val="en-US" w:eastAsia="zh-CN"/>
        </w:rPr>
        <w:t>≥</w:t>
      </w:r>
      <w:r>
        <w:rPr>
          <w:rFonts w:hint="eastAsia" w:ascii="宋体" w:hAnsi="宋体" w:eastAsia="宋体" w:cs="宋体"/>
          <w:sz w:val="24"/>
          <w:szCs w:val="24"/>
        </w:rPr>
        <w:t>10套</w:t>
      </w:r>
      <w:r>
        <w:rPr>
          <w:rFonts w:hint="eastAsia" w:ascii="宋体" w:hAnsi="宋体" w:eastAsia="宋体" w:cs="宋体"/>
          <w:sz w:val="24"/>
          <w:szCs w:val="24"/>
          <w:lang w:eastAsia="zh-CN"/>
        </w:rPr>
        <w:t>、</w:t>
      </w:r>
      <w:r>
        <w:rPr>
          <w:rFonts w:hint="eastAsia" w:ascii="宋体" w:hAnsi="宋体" w:eastAsia="宋体" w:cs="宋体"/>
          <w:sz w:val="24"/>
          <w:szCs w:val="24"/>
        </w:rPr>
        <w:t>视频眼镜1套</w:t>
      </w:r>
      <w:bookmarkStart w:id="78" w:name="_GoBack"/>
      <w:bookmarkEnd w:id="78"/>
    </w:p>
    <w:p w14:paraId="4B962953">
      <w:pPr>
        <w:numPr>
          <w:ilvl w:val="0"/>
          <w:numId w:val="0"/>
        </w:numPr>
        <w:spacing w:line="360" w:lineRule="auto"/>
        <w:ind w:leftChars="0"/>
        <w:rPr>
          <w:rFonts w:hint="eastAsia" w:ascii="宋体" w:hAnsi="宋体" w:eastAsia="宋体" w:cs="宋体"/>
          <w:b w:val="0"/>
          <w:bCs w:val="0"/>
          <w:sz w:val="24"/>
          <w:szCs w:val="24"/>
          <w:lang w:eastAsia="zh-CN"/>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2C5225F6">
      <w:pPr>
        <w:pStyle w:val="46"/>
        <w:spacing w:line="360" w:lineRule="auto"/>
        <w:jc w:val="left"/>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1、成交供应商需在30日内与采购人签订</w:t>
      </w:r>
      <w:r>
        <w:rPr>
          <w:rFonts w:hint="eastAsia" w:ascii="宋体" w:hAnsi="宋体" w:eastAsia="宋体" w:cs="宋体"/>
          <w:kern w:val="0"/>
          <w:sz w:val="24"/>
          <w:szCs w:val="24"/>
          <w:lang w:val="en-US" w:eastAsia="zh-CN" w:bidi="ar-SA"/>
        </w:rPr>
        <w:t>合同</w:t>
      </w:r>
      <w:r>
        <w:rPr>
          <w:rFonts w:hint="eastAsia" w:ascii="宋体" w:hAnsi="宋体" w:eastAsia="宋体" w:cs="宋体"/>
          <w:kern w:val="0"/>
          <w:sz w:val="24"/>
          <w:szCs w:val="24"/>
          <w:lang w:val="en-US" w:eastAsia="zh-Hans" w:bidi="ar-SA"/>
        </w:rPr>
        <w:t>，签订</w:t>
      </w:r>
      <w:r>
        <w:rPr>
          <w:rFonts w:hint="eastAsia" w:ascii="宋体" w:hAnsi="宋体" w:eastAsia="宋体" w:cs="宋体"/>
          <w:kern w:val="0"/>
          <w:sz w:val="24"/>
          <w:szCs w:val="24"/>
          <w:lang w:val="en-US" w:eastAsia="zh-CN" w:bidi="ar-SA"/>
        </w:rPr>
        <w:t>合同</w:t>
      </w:r>
      <w:r>
        <w:rPr>
          <w:rFonts w:hint="eastAsia" w:ascii="宋体" w:hAnsi="宋体" w:eastAsia="宋体" w:cs="宋体"/>
          <w:kern w:val="0"/>
          <w:sz w:val="24"/>
          <w:szCs w:val="24"/>
          <w:lang w:val="en-US" w:eastAsia="zh-Hans" w:bidi="ar-SA"/>
        </w:rPr>
        <w:t>后</w:t>
      </w:r>
      <w:r>
        <w:rPr>
          <w:rFonts w:hint="eastAsia" w:ascii="宋体" w:hAnsi="宋体" w:eastAsia="宋体" w:cs="宋体"/>
          <w:kern w:val="0"/>
          <w:sz w:val="24"/>
          <w:szCs w:val="24"/>
          <w:lang w:val="en-US" w:eastAsia="zh-CN" w:bidi="ar-SA"/>
        </w:rPr>
        <w:t>根据采购人需要提出交货要求起90</w:t>
      </w:r>
      <w:r>
        <w:rPr>
          <w:rFonts w:hint="eastAsia" w:ascii="宋体" w:hAnsi="宋体" w:eastAsia="宋体" w:cs="宋体"/>
          <w:kern w:val="0"/>
          <w:sz w:val="24"/>
          <w:szCs w:val="24"/>
          <w:lang w:val="en-US" w:eastAsia="zh-Hans" w:bidi="ar-SA"/>
        </w:rPr>
        <w:t>日内提供货物并进行验收。</w:t>
      </w:r>
    </w:p>
    <w:p w14:paraId="5463B9AF">
      <w:pPr>
        <w:pStyle w:val="46"/>
        <w:spacing w:line="360" w:lineRule="auto"/>
        <w:jc w:val="left"/>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2、付款方式：</w:t>
      </w:r>
      <w:r>
        <w:rPr>
          <w:rFonts w:hint="eastAsia" w:ascii="宋体" w:hAnsi="宋体" w:eastAsia="宋体" w:cs="宋体"/>
          <w:kern w:val="0"/>
          <w:sz w:val="24"/>
          <w:szCs w:val="24"/>
          <w:lang w:val="en-US" w:eastAsia="zh-CN" w:bidi="ar-SA"/>
        </w:rPr>
        <w:t>当批</w:t>
      </w:r>
      <w:r>
        <w:rPr>
          <w:rFonts w:hint="eastAsia" w:ascii="宋体" w:hAnsi="宋体" w:eastAsia="宋体" w:cs="宋体"/>
          <w:kern w:val="0"/>
          <w:sz w:val="24"/>
          <w:szCs w:val="24"/>
          <w:lang w:val="en-US" w:eastAsia="zh-Hans" w:bidi="ar-SA"/>
        </w:rPr>
        <w:t>货物验收合格</w:t>
      </w:r>
      <w:r>
        <w:rPr>
          <w:rFonts w:hint="eastAsia" w:ascii="宋体" w:hAnsi="宋体" w:eastAsia="宋体" w:cs="宋体"/>
          <w:kern w:val="0"/>
          <w:sz w:val="24"/>
          <w:szCs w:val="24"/>
          <w:lang w:val="en-US" w:eastAsia="zh-CN" w:bidi="ar-SA"/>
        </w:rPr>
        <w:t>并正常运行</w:t>
      </w:r>
      <w:r>
        <w:rPr>
          <w:rFonts w:hint="eastAsia" w:ascii="宋体" w:hAnsi="宋体" w:eastAsia="宋体" w:cs="宋体"/>
          <w:kern w:val="0"/>
          <w:sz w:val="24"/>
          <w:szCs w:val="24"/>
          <w:lang w:val="en-US" w:eastAsia="zh-Hans" w:bidi="ar-SA"/>
        </w:rPr>
        <w:t>后，采购人收到中标人提交完备票据凭证资料后30日内支付</w:t>
      </w:r>
      <w:r>
        <w:rPr>
          <w:rFonts w:hint="eastAsia" w:ascii="宋体" w:hAnsi="宋体" w:eastAsia="宋体" w:cs="宋体"/>
          <w:kern w:val="0"/>
          <w:sz w:val="24"/>
          <w:szCs w:val="24"/>
          <w:lang w:val="en-US" w:eastAsia="zh-CN" w:bidi="ar-SA"/>
        </w:rPr>
        <w:t>9</w:t>
      </w:r>
      <w:r>
        <w:rPr>
          <w:rFonts w:hint="eastAsia" w:ascii="宋体" w:hAnsi="宋体" w:eastAsia="宋体" w:cs="宋体"/>
          <w:kern w:val="0"/>
          <w:sz w:val="24"/>
          <w:szCs w:val="24"/>
          <w:lang w:val="en-US" w:eastAsia="zh-Hans" w:bidi="ar-SA"/>
        </w:rPr>
        <w:t>0%货款</w:t>
      </w:r>
      <w:r>
        <w:rPr>
          <w:rFonts w:hint="eastAsia" w:ascii="宋体" w:hAnsi="宋体" w:eastAsia="宋体" w:cs="宋体"/>
          <w:kern w:val="0"/>
          <w:sz w:val="24"/>
          <w:szCs w:val="24"/>
          <w:lang w:val="en-US" w:eastAsia="zh-CN" w:bidi="ar-SA"/>
        </w:rPr>
        <w:t>，正常运行1年后支付剩余10%货款</w:t>
      </w:r>
      <w:r>
        <w:rPr>
          <w:rFonts w:hint="eastAsia" w:ascii="宋体" w:hAnsi="宋体" w:eastAsia="宋体" w:cs="宋体"/>
          <w:kern w:val="0"/>
          <w:sz w:val="24"/>
          <w:szCs w:val="24"/>
          <w:lang w:val="en-US" w:eastAsia="zh-Hans" w:bidi="ar-SA"/>
        </w:rPr>
        <w:t>。</w:t>
      </w:r>
    </w:p>
    <w:p w14:paraId="39BE1798">
      <w:pPr>
        <w:pStyle w:val="46"/>
        <w:spacing w:line="360" w:lineRule="auto"/>
        <w:jc w:val="left"/>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3、验收要求：医学装备科和使用科室会同</w:t>
      </w:r>
      <w:r>
        <w:rPr>
          <w:rFonts w:hint="eastAsia" w:ascii="宋体" w:hAnsi="宋体" w:eastAsia="宋体" w:cs="宋体"/>
          <w:kern w:val="0"/>
          <w:sz w:val="24"/>
          <w:szCs w:val="24"/>
          <w:lang w:val="en-US" w:eastAsia="zh-CN" w:bidi="ar-SA"/>
        </w:rPr>
        <w:t>供应商</w:t>
      </w:r>
      <w:r>
        <w:rPr>
          <w:rFonts w:hint="eastAsia" w:ascii="宋体" w:hAnsi="宋体" w:eastAsia="宋体" w:cs="宋体"/>
          <w:kern w:val="0"/>
          <w:sz w:val="24"/>
          <w:szCs w:val="24"/>
          <w:lang w:val="en-US" w:eastAsia="zh-Hans" w:bidi="ar-SA"/>
        </w:rPr>
        <w:t>共同验收。</w:t>
      </w:r>
    </w:p>
    <w:p w14:paraId="3CBFCC22">
      <w:pPr>
        <w:pStyle w:val="7"/>
        <w:spacing w:line="360" w:lineRule="auto"/>
        <w:ind w:firstLine="0"/>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4、售后服务：</w:t>
      </w:r>
      <w:r>
        <w:rPr>
          <w:rFonts w:hint="eastAsia" w:ascii="宋体" w:hAnsi="宋体" w:eastAsia="宋体" w:cs="宋体"/>
          <w:kern w:val="0"/>
          <w:sz w:val="24"/>
          <w:szCs w:val="24"/>
          <w:lang w:val="en-US" w:eastAsia="zh-CN" w:bidi="ar-SA"/>
        </w:rPr>
        <w:t>保修期≥3年</w:t>
      </w:r>
      <w:r>
        <w:rPr>
          <w:rFonts w:hint="eastAsia" w:ascii="宋体" w:hAnsi="宋体" w:eastAsia="宋体" w:cs="宋体"/>
          <w:kern w:val="0"/>
          <w:sz w:val="24"/>
          <w:szCs w:val="24"/>
          <w:lang w:val="en-US" w:eastAsia="zh-Hans" w:bidi="ar-SA"/>
        </w:rPr>
        <w:t>。</w:t>
      </w: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3094"/>
      <w:bookmarkStart w:id="9" w:name="_Toc16344"/>
      <w:bookmarkStart w:id="10" w:name="_Toc22827"/>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5913"/>
      <w:bookmarkStart w:id="12" w:name="_Toc29819"/>
      <w:bookmarkStart w:id="13" w:name="_Toc4960"/>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9428"/>
      <w:bookmarkStart w:id="15" w:name="_Toc30609"/>
      <w:bookmarkStart w:id="16" w:name="_Toc19851"/>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32352"/>
      <w:bookmarkStart w:id="18" w:name="_Toc1544"/>
      <w:bookmarkStart w:id="19" w:name="_Toc9041"/>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17163"/>
      <w:bookmarkStart w:id="23" w:name="_Toc1690"/>
      <w:bookmarkStart w:id="24" w:name="_Toc24859"/>
      <w:bookmarkStart w:id="25" w:name="_Toc32749"/>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17905"/>
      <w:bookmarkStart w:id="27" w:name="_Toc24123"/>
      <w:bookmarkStart w:id="28" w:name="_Toc3558"/>
      <w:bookmarkStart w:id="29" w:name="_Toc6803"/>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7135"/>
      <w:bookmarkStart w:id="31" w:name="_Toc27526"/>
      <w:bookmarkStart w:id="32" w:name="_Toc2989"/>
      <w:bookmarkStart w:id="33" w:name="_Toc599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5056"/>
      <w:bookmarkStart w:id="35" w:name="_Toc2031"/>
      <w:bookmarkStart w:id="36" w:name="_Toc19987"/>
      <w:bookmarkStart w:id="37" w:name="_Toc7233"/>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11352"/>
      <w:bookmarkStart w:id="39" w:name="_Toc6482"/>
      <w:bookmarkStart w:id="40" w:name="_Toc16029"/>
      <w:bookmarkStart w:id="41" w:name="_Toc21519"/>
      <w:bookmarkStart w:id="42" w:name="_Toc14829"/>
      <w:bookmarkStart w:id="43" w:name="_Toc3023"/>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22676"/>
      <w:bookmarkStart w:id="45" w:name="_Toc17857"/>
      <w:bookmarkStart w:id="46" w:name="_Toc30971"/>
      <w:bookmarkStart w:id="47" w:name="_Toc4305"/>
      <w:bookmarkStart w:id="48" w:name="_Toc31838"/>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15613"/>
      <w:bookmarkStart w:id="50" w:name="_Toc27186"/>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25357"/>
      <w:bookmarkStart w:id="53" w:name="_Toc13904"/>
      <w:bookmarkStart w:id="54" w:name="_Toc13706"/>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0589"/>
      <w:bookmarkStart w:id="58" w:name="_Toc15526"/>
      <w:bookmarkStart w:id="59" w:name="_Toc27661"/>
      <w:bookmarkStart w:id="60" w:name="_Toc25638"/>
      <w:bookmarkStart w:id="61" w:name="_Toc11351"/>
      <w:bookmarkStart w:id="62" w:name="_Toc12015"/>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26969"/>
      <w:bookmarkStart w:id="64" w:name="_Toc1074"/>
      <w:bookmarkStart w:id="65" w:name="_Toc23967"/>
      <w:bookmarkStart w:id="66" w:name="_Toc12967"/>
      <w:bookmarkStart w:id="67" w:name="_Toc16435"/>
      <w:bookmarkStart w:id="68" w:name="_Toc2041"/>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871"/>
      <w:bookmarkStart w:id="70" w:name="_Toc32605"/>
      <w:bookmarkStart w:id="71" w:name="_Toc24494"/>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29032"/>
      <w:bookmarkStart w:id="74" w:name="_Toc30002"/>
      <w:bookmarkStart w:id="75"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5447"/>
      <w:bookmarkStart w:id="77" w:name="_Toc20691"/>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AFC121F-1099-449F-94C2-6D3903F94C4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0CCE59E-AA61-4862-9DB3-496A038AB1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0B9BD10B-59E6-466B-895B-290E91D215FD}"/>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32D2A895-AC3F-43B1-A9D6-BC4DDF7CA1CF}"/>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6ED63B3"/>
    <w:multiLevelType w:val="multilevel"/>
    <w:tmpl w:val="36ED63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A69C7D9"/>
    <w:multiLevelType w:val="singleLevel"/>
    <w:tmpl w:val="3A69C7D9"/>
    <w:lvl w:ilvl="0" w:tentative="0">
      <w:start w:val="1"/>
      <w:numFmt w:val="decimal"/>
      <w:lvlText w:val="(%1)"/>
      <w:lvlJc w:val="left"/>
      <w:pPr>
        <w:ind w:left="425" w:hanging="425"/>
      </w:pPr>
      <w:rPr>
        <w:rFonts w:hint="default"/>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7">
    <w:nsid w:val="519FABDF"/>
    <w:multiLevelType w:val="singleLevel"/>
    <w:tmpl w:val="519FABDF"/>
    <w:lvl w:ilvl="0" w:tentative="0">
      <w:start w:val="1"/>
      <w:numFmt w:val="decimal"/>
      <w:lvlText w:val="%1."/>
      <w:lvlJc w:val="left"/>
      <w:pPr>
        <w:ind w:left="425" w:hanging="425"/>
      </w:pPr>
      <w:rPr>
        <w:rFonts w:hint="default"/>
      </w:rPr>
    </w:lvl>
  </w:abstractNum>
  <w:abstractNum w:abstractNumId="18">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9">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9"/>
  </w:num>
  <w:num w:numId="3">
    <w:abstractNumId w:val="15"/>
  </w:num>
  <w:num w:numId="4">
    <w:abstractNumId w:val="19"/>
  </w:num>
  <w:num w:numId="5">
    <w:abstractNumId w:val="11"/>
  </w:num>
  <w:num w:numId="6">
    <w:abstractNumId w:val="18"/>
  </w:num>
  <w:num w:numId="7">
    <w:abstractNumId w:val="14"/>
  </w:num>
  <w:num w:numId="8">
    <w:abstractNumId w:val="8"/>
  </w:num>
  <w:num w:numId="9">
    <w:abstractNumId w:val="16"/>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13"/>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53034D0"/>
    <w:rsid w:val="058C78B0"/>
    <w:rsid w:val="05D12E0E"/>
    <w:rsid w:val="05E13064"/>
    <w:rsid w:val="06043A48"/>
    <w:rsid w:val="06DD0510"/>
    <w:rsid w:val="07275343"/>
    <w:rsid w:val="078909F5"/>
    <w:rsid w:val="0797664C"/>
    <w:rsid w:val="07CA7DEC"/>
    <w:rsid w:val="08722396"/>
    <w:rsid w:val="093A3733"/>
    <w:rsid w:val="095073FA"/>
    <w:rsid w:val="0A2B3D50"/>
    <w:rsid w:val="0A5B6C7C"/>
    <w:rsid w:val="0ABB1787"/>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EF347F"/>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A70D65"/>
    <w:rsid w:val="2E8822E7"/>
    <w:rsid w:val="2F966F61"/>
    <w:rsid w:val="305F1EED"/>
    <w:rsid w:val="30A901D0"/>
    <w:rsid w:val="30BE31DA"/>
    <w:rsid w:val="31F51A59"/>
    <w:rsid w:val="32724DD0"/>
    <w:rsid w:val="32787627"/>
    <w:rsid w:val="329655CE"/>
    <w:rsid w:val="32AC3E17"/>
    <w:rsid w:val="33C24ADF"/>
    <w:rsid w:val="343706EB"/>
    <w:rsid w:val="351A08D0"/>
    <w:rsid w:val="357519FC"/>
    <w:rsid w:val="35A61797"/>
    <w:rsid w:val="35D74205"/>
    <w:rsid w:val="367D6EF4"/>
    <w:rsid w:val="371E7B30"/>
    <w:rsid w:val="37BF3B20"/>
    <w:rsid w:val="380B5401"/>
    <w:rsid w:val="38323B02"/>
    <w:rsid w:val="38AE5E8C"/>
    <w:rsid w:val="3A335BDD"/>
    <w:rsid w:val="3A900FE8"/>
    <w:rsid w:val="3A973F7E"/>
    <w:rsid w:val="3B4E7DFC"/>
    <w:rsid w:val="3C1063F2"/>
    <w:rsid w:val="3CBC5C91"/>
    <w:rsid w:val="3D375AA1"/>
    <w:rsid w:val="3D931F15"/>
    <w:rsid w:val="3EA40469"/>
    <w:rsid w:val="3F6C393F"/>
    <w:rsid w:val="3FA84948"/>
    <w:rsid w:val="3FE34CD0"/>
    <w:rsid w:val="41600431"/>
    <w:rsid w:val="42075FF8"/>
    <w:rsid w:val="42D94E43"/>
    <w:rsid w:val="42E77C3D"/>
    <w:rsid w:val="4335673E"/>
    <w:rsid w:val="43B34232"/>
    <w:rsid w:val="43C401ED"/>
    <w:rsid w:val="44A32AC2"/>
    <w:rsid w:val="452C0E08"/>
    <w:rsid w:val="454937BA"/>
    <w:rsid w:val="46271B24"/>
    <w:rsid w:val="46284338"/>
    <w:rsid w:val="465B6B84"/>
    <w:rsid w:val="465D0053"/>
    <w:rsid w:val="468567BB"/>
    <w:rsid w:val="4782487D"/>
    <w:rsid w:val="47F36CDA"/>
    <w:rsid w:val="480756B2"/>
    <w:rsid w:val="483002E2"/>
    <w:rsid w:val="48D62926"/>
    <w:rsid w:val="49344560"/>
    <w:rsid w:val="495751DE"/>
    <w:rsid w:val="4AB820A2"/>
    <w:rsid w:val="4B4F618D"/>
    <w:rsid w:val="4BAD0151"/>
    <w:rsid w:val="4C8F75A2"/>
    <w:rsid w:val="4CB701C3"/>
    <w:rsid w:val="4D4C612C"/>
    <w:rsid w:val="4D7F5185"/>
    <w:rsid w:val="4D7F6DB0"/>
    <w:rsid w:val="4E8C008E"/>
    <w:rsid w:val="4F784E82"/>
    <w:rsid w:val="4FAB2261"/>
    <w:rsid w:val="4FD14828"/>
    <w:rsid w:val="506A72A7"/>
    <w:rsid w:val="50771A9C"/>
    <w:rsid w:val="52B21B59"/>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320CC3"/>
    <w:rsid w:val="5B800F26"/>
    <w:rsid w:val="5B9C032B"/>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D462B1"/>
    <w:rsid w:val="641A3596"/>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27</Pages>
  <Words>4811</Words>
  <Characters>4901</Characters>
  <Lines>58</Lines>
  <Paragraphs>16</Paragraphs>
  <TotalTime>0</TotalTime>
  <ScaleCrop>false</ScaleCrop>
  <LinksUpToDate>false</LinksUpToDate>
  <CharactersWithSpaces>4993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2026-03-02T03:30:20Z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