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CG-2026-0034</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输液加压袋</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输液加压袋</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CG-2026-0034</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0BE6FB54">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6574346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3988"/>
      <w:bookmarkStart w:id="9" w:name="_Toc1266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重症医学科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输液加压袋</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hint="eastAsia" w:ascii="微软雅黑" w:hAnsi="微软雅黑" w:eastAsia="微软雅黑" w:cs="微软雅黑"/>
                <w:i w:val="0"/>
                <w:iCs w:val="0"/>
                <w:caps w:val="0"/>
                <w:color w:val="495060"/>
                <w:spacing w:val="0"/>
                <w:kern w:val="0"/>
                <w:sz w:val="18"/>
                <w:szCs w:val="18"/>
                <w:lang w:val="en-US" w:eastAsia="zh-CN" w:bidi="ar"/>
              </w:rPr>
              <w:t>1、用于加压输液。2、可不作为医疗器械管理。</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1634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1544"/>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32749"/>
      <w:bookmarkStart w:id="26" w:name="_Toc1690"/>
      <w:bookmarkStart w:id="27" w:name="_Toc17163"/>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24123"/>
      <w:bookmarkStart w:id="29" w:name="_Toc3558"/>
      <w:bookmarkStart w:id="30" w:name="_Toc680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989"/>
      <w:bookmarkStart w:id="33" w:name="_Toc5996"/>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1352"/>
      <w:bookmarkStart w:id="41" w:name="_Toc3023"/>
      <w:bookmarkStart w:id="42" w:name="_Toc14829"/>
      <w:bookmarkStart w:id="43" w:name="_Toc6482"/>
      <w:bookmarkStart w:id="44" w:name="_Toc21519"/>
      <w:bookmarkStart w:id="45" w:name="_Toc1602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0971"/>
      <w:bookmarkStart w:id="47" w:name="_Toc4305"/>
      <w:bookmarkStart w:id="48" w:name="_Toc31838"/>
      <w:bookmarkStart w:id="49" w:name="_Toc22676"/>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11351"/>
      <w:bookmarkStart w:id="62" w:name="_Toc27661"/>
      <w:bookmarkStart w:id="63" w:name="_Toc25638"/>
      <w:bookmarkStart w:id="64" w:name="_Toc15526"/>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16435"/>
      <w:bookmarkStart w:id="66" w:name="_Toc12967"/>
      <w:bookmarkStart w:id="67" w:name="_Toc2041"/>
      <w:bookmarkStart w:id="68" w:name="_Toc26969"/>
      <w:bookmarkStart w:id="69" w:name="_Toc23967"/>
      <w:bookmarkStart w:id="70" w:name="_Toc1074"/>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A9BE34-10A6-481D-A297-2E465A521A5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FED5AE3-9018-485B-ABDC-DA317243D4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2EA4449-ACD1-4999-B822-8AB5C0A7776D}"/>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BEE35FA7-9612-4B7C-BECD-F01370829D9E}"/>
  </w:font>
  <w:font w:name="等线">
    <w:panose1 w:val="02010600030101010101"/>
    <w:charset w:val="86"/>
    <w:family w:val="auto"/>
    <w:pitch w:val="default"/>
    <w:sig w:usb0="A00002BF" w:usb1="38CF7CFA" w:usb2="00000016" w:usb3="00000000" w:csb0="0004000F" w:csb1="00000000"/>
    <w:embedRegular r:id="rId5" w:fontKey="{7AF96E72-6D07-4375-B2DD-83345B20D1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BDA2E0E"/>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1298</Words>
  <Characters>1364</Characters>
  <Lines>81</Lines>
  <Paragraphs>22</Paragraphs>
  <TotalTime>0</TotalTime>
  <ScaleCrop>false</ScaleCrop>
  <LinksUpToDate>false</LinksUpToDate>
  <CharactersWithSpaces>1447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838DE89B78AA41F3A673C39985AB1C8B_13</vt:lpwstr>
  </property>
  <property fmtid="{D5CDD505-2E9C-101B-9397-08002B2CF9AE}" pid="4" name="KSOTemplateDocerSaveRecord">
    <vt:lpwstr>eyJoZGlkIjoiZDU1MTNmZmUyODIzN2MxNDgwNzc5NDI0N2ZkNjJhM2IiLCJ1c2VySWQiOiIzMTQ2NjUyOTIifQ==</vt:lpwstr>
  </property>
</Properties>
</file>