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364</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正畸粘接剂系统</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22C7C1F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0A86422">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正畸粘接剂系统</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364</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47C38093">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在口腔正畸治疗时用于在牙齿表面上粘接正畸矫治器。</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bookmarkStart w:id="80" w:name="_GoBack"/>
            <w:r>
              <w:rPr>
                <w:rFonts w:hint="eastAsia" w:ascii="宋体" w:hAnsi="宋体" w:eastAsia="宋体" w:cs="宋体"/>
                <w:kern w:val="0"/>
                <w:sz w:val="18"/>
                <w:szCs w:val="18"/>
                <w:lang w:eastAsia="zh-CN" w:bidi="ar"/>
              </w:rPr>
              <w:t>正畸粘接剂系统</w:t>
            </w:r>
            <w:bookmarkEnd w:id="8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在口腔正畸治疗时用于在牙齿表面上粘接正畸矫治器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6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2.在《四川省药械集中采购及医药价格监管平台》价格联动挂网专区挂网的产品优先</w:t>
            </w:r>
          </w:p>
          <w:p w14:paraId="77DF0FDC">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3.可计费材料医保码在四川省医保局可查询</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1352"/>
      <w:bookmarkStart w:id="45" w:name="_Toc14829"/>
    </w:p>
    <w:p w14:paraId="6AA24BAE">
      <w:r>
        <w:rPr>
          <w:rStyle w:val="30"/>
          <w:rFonts w:hint="eastAsia" w:ascii="仿宋" w:hAnsi="仿宋" w:eastAsia="仿宋" w:cs="仿宋"/>
          <w:b/>
          <w:bCs/>
          <w:sz w:val="32"/>
          <w:szCs w:val="28"/>
        </w:rPr>
        <w:br w:type="page"/>
      </w:r>
    </w:p>
    <w:p w14:paraId="3ADCC12F">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2015"/>
      <w:bookmarkStart w:id="62" w:name="_Toc11351"/>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F347C58-4B67-4C97-9014-B3E6B697AEA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E94E99D4-8356-4C86-A35A-1841F99461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29102A9-FCF3-4585-B224-6868E605171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A2B19CA7-95A2-4D99-94BF-2A96A9AF8A23}"/>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23533D"/>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191BB5"/>
    <w:rsid w:val="60605BAC"/>
    <w:rsid w:val="60C53B7A"/>
    <w:rsid w:val="60E308E3"/>
    <w:rsid w:val="62330506"/>
    <w:rsid w:val="62C51434"/>
    <w:rsid w:val="632E2511"/>
    <w:rsid w:val="63553057"/>
    <w:rsid w:val="639A75F8"/>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4406</Characters>
  <Lines>81</Lines>
  <Paragraphs>22</Paragraphs>
  <TotalTime>3</TotalTime>
  <ScaleCrop>false</ScaleCrop>
  <LinksUpToDate>false</LinksUpToDate>
  <CharactersWithSpaces>4497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2024-10-29T08:04:01Z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4A98FC345F4B45D499059628C9F1AB68_13</vt:lpwstr>
  </property>
</Properties>
</file>