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9654C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国家卫生健康委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技术医学转化重点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开放课题申报指南</w:t>
      </w:r>
    </w:p>
    <w:p w14:paraId="27546AF7">
      <w:pPr>
        <w:pStyle w:val="11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各高校、科研院所：</w:t>
      </w:r>
    </w:p>
    <w:p w14:paraId="121775F5">
      <w:pPr>
        <w:pStyle w:val="11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年国家卫健委核技术医学转化重点实验室开放课题申报已开始，现将有关事项通知如下：</w:t>
      </w:r>
    </w:p>
    <w:p w14:paraId="35960E66">
      <w:pPr>
        <w:pStyle w:val="11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资助领域</w:t>
      </w:r>
    </w:p>
    <w:p w14:paraId="76ED0EB1">
      <w:pPr>
        <w:ind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重点实验室</w:t>
      </w:r>
      <w:r>
        <w:rPr>
          <w:rFonts w:hint="eastAsia" w:ascii="仿宋_GB2312" w:hAnsi="方正小标宋简体" w:eastAsia="仿宋_GB2312"/>
          <w:sz w:val="32"/>
          <w:szCs w:val="32"/>
        </w:rPr>
        <w:t>资助以下研究方向相关内容：</w:t>
      </w:r>
    </w:p>
    <w:p w14:paraId="58C15AC9">
      <w:pPr>
        <w:pStyle w:val="11"/>
        <w:numPr>
          <w:ilvl w:val="0"/>
          <w:numId w:val="2"/>
        </w:numPr>
        <w:ind w:left="650" w:leftChars="0" w:hanging="10" w:firstLineChars="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核素药物的研发和临床应用研究</w:t>
      </w:r>
    </w:p>
    <w:p w14:paraId="3252141B">
      <w:pPr>
        <w:pStyle w:val="11"/>
        <w:numPr>
          <w:ilvl w:val="0"/>
          <w:numId w:val="2"/>
        </w:numPr>
        <w:ind w:left="650" w:leftChars="0" w:hanging="10" w:firstLineChars="0"/>
        <w:rPr>
          <w:rFonts w:ascii="仿宋_GB2312" w:hAnsi="方正小标宋简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医用回旋加速器的研制及临床应用研究</w:t>
      </w:r>
    </w:p>
    <w:p w14:paraId="43386E6A">
      <w:pPr>
        <w:pStyle w:val="11"/>
        <w:numPr>
          <w:ilvl w:val="0"/>
          <w:numId w:val="2"/>
        </w:numPr>
        <w:ind w:left="650" w:leftChars="0" w:hanging="10" w:firstLineChars="0"/>
        <w:rPr>
          <w:rFonts w:ascii="仿宋_GB2312" w:hAnsi="方正小标宋简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FLASH 放疗装置的研制及临床转化研究</w:t>
      </w:r>
    </w:p>
    <w:p w14:paraId="79FA017D">
      <w:pPr>
        <w:pStyle w:val="11"/>
        <w:numPr>
          <w:ilvl w:val="0"/>
          <w:numId w:val="2"/>
        </w:numPr>
        <w:ind w:left="650" w:leftChars="0" w:hanging="10" w:firstLineChars="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辐射损伤防治药物的基础和转化研究</w:t>
      </w:r>
    </w:p>
    <w:p w14:paraId="7C6D8F7E">
      <w:pPr>
        <w:pStyle w:val="11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申请要求</w:t>
      </w:r>
    </w:p>
    <w:p w14:paraId="2A740618">
      <w:pPr>
        <w:keepNext w:val="0"/>
        <w:keepLines w:val="0"/>
        <w:widowControl/>
        <w:suppressLineNumbers w:val="0"/>
        <w:ind w:firstLine="602"/>
        <w:jc w:val="left"/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开放课题申请人应是绵阳市中心医院正式职工或高校、科研院所等机构的正式全职科研人员，应具有一定的研究经历和研究基础。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开放课题研究团队</w:t>
      </w:r>
      <w:r>
        <w:rPr>
          <w:rFonts w:hint="eastAsia" w:ascii="仿宋_GB2312" w:hAnsi="方正小标宋简体" w:eastAsia="仿宋_GB2312"/>
          <w:b/>
          <w:bCs/>
          <w:sz w:val="32"/>
          <w:szCs w:val="32"/>
          <w:lang w:val="en-US" w:eastAsia="zh-CN"/>
        </w:rPr>
        <w:t>需同时包含绵阳市中心医院人员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及其它单位合作研究人员，如中国工程物理研究院或其它高校、科研机构的科研人员，且研究团队必须包含涉核研究人员。</w:t>
      </w:r>
    </w:p>
    <w:p w14:paraId="69E1C2FF">
      <w:pPr>
        <w:keepNext w:val="0"/>
        <w:keepLines w:val="0"/>
        <w:widowControl/>
        <w:suppressLineNumbers w:val="0"/>
        <w:ind w:firstLine="602"/>
        <w:jc w:val="left"/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项目负责人申请的开放课题数量不超过</w:t>
      </w:r>
      <w:r>
        <w:rPr>
          <w:rFonts w:hint="default" w:ascii="仿宋_GB2312" w:hAnsi="方正小标宋简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项，已承担本实验室开放课题，尚未结题的研究人员不得再次申请新的开放课题。</w:t>
      </w:r>
    </w:p>
    <w:p w14:paraId="4E8F4259">
      <w:pPr>
        <w:widowControl/>
        <w:spacing w:line="388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经费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资助</w:t>
      </w:r>
    </w:p>
    <w:p w14:paraId="19D4A383">
      <w:pPr>
        <w:widowControl/>
        <w:spacing w:line="388" w:lineRule="atLeast"/>
        <w:ind w:firstLine="640" w:firstLineChars="200"/>
        <w:jc w:val="left"/>
        <w:rPr>
          <w:rFonts w:hint="default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开放</w:t>
      </w:r>
      <w:r>
        <w:rPr>
          <w:rFonts w:hint="eastAsia" w:ascii="仿宋_GB2312" w:hAnsi="方正小标宋简体" w:eastAsia="仿宋_GB2312"/>
          <w:sz w:val="32"/>
          <w:szCs w:val="32"/>
        </w:rPr>
        <w:t>课题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根据重点项目20万元，面上项目10万元，自由探索项目5万元的标准分档次立项</w:t>
      </w:r>
      <w:r>
        <w:rPr>
          <w:rFonts w:hint="eastAsia" w:ascii="仿宋_GB2312" w:hAnsi="方正小标宋简体" w:eastAsia="仿宋_GB2312"/>
          <w:sz w:val="32"/>
          <w:szCs w:val="32"/>
        </w:rPr>
        <w:t>。立项后根据课题年度考核结果追加研究经费，追加研究经费后需重新签订任务书。课题研究期限2-5年，研究经费总额不超过80万元/项。没有追加研究经费的课题研究期限原则上不超过3年。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申请时请注明申请的项目资助级别和经费。</w:t>
      </w:r>
    </w:p>
    <w:p w14:paraId="4366F046">
      <w:pPr>
        <w:widowControl/>
        <w:spacing w:line="388" w:lineRule="atLeast"/>
        <w:ind w:firstLine="640" w:firstLineChars="200"/>
        <w:jc w:val="left"/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经费使用</w:t>
      </w:r>
      <w:r>
        <w:rPr>
          <w:rFonts w:hint="eastAsia" w:ascii="仿宋_GB2312" w:hAnsi="方正小标宋简体" w:eastAsia="仿宋_GB2312"/>
          <w:sz w:val="32"/>
          <w:szCs w:val="32"/>
        </w:rPr>
        <w:t>由课题申请人负责，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根据重点实验室开放课题管理办法规定，</w:t>
      </w:r>
      <w:r>
        <w:rPr>
          <w:rFonts w:hint="eastAsia" w:ascii="仿宋_GB2312" w:hAnsi="方正小标宋简体" w:eastAsia="仿宋_GB2312"/>
          <w:sz w:val="32"/>
          <w:szCs w:val="32"/>
        </w:rPr>
        <w:t>按照项目预算计划安排使用。</w:t>
      </w:r>
    </w:p>
    <w:p w14:paraId="2DFF13B8">
      <w:pPr>
        <w:pStyle w:val="11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成果管理</w:t>
      </w:r>
    </w:p>
    <w:p w14:paraId="1EEB99ED">
      <w:pPr>
        <w:pStyle w:val="11"/>
        <w:widowControl/>
        <w:numPr>
          <w:ilvl w:val="0"/>
          <w:numId w:val="0"/>
        </w:numPr>
        <w:spacing w:line="388" w:lineRule="atLeast"/>
        <w:ind w:leftChars="0"/>
        <w:jc w:val="left"/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1. 考核指标：</w:t>
      </w:r>
    </w:p>
    <w:p w14:paraId="2405838E">
      <w:pPr>
        <w:pStyle w:val="11"/>
        <w:widowControl/>
        <w:numPr>
          <w:ilvl w:val="0"/>
          <w:numId w:val="0"/>
        </w:numPr>
        <w:spacing w:line="388" w:lineRule="atLeast"/>
        <w:ind w:leftChars="0"/>
        <w:jc w:val="left"/>
        <w:rPr>
          <w:rFonts w:hint="eastAsia" w:ascii="仿宋_GB2312" w:hAnsi="方正小标宋简体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方正小标宋简体" w:eastAsia="仿宋_GB2312"/>
          <w:b/>
          <w:bCs/>
          <w:sz w:val="32"/>
          <w:szCs w:val="32"/>
          <w:highlight w:val="none"/>
          <w:lang w:val="en-US" w:eastAsia="zh-CN"/>
        </w:rPr>
        <w:t>重点项目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的成果至少包含（六个条件满足其一）：</w:t>
      </w:r>
    </w:p>
    <w:p w14:paraId="6152296D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在影响因子≥5.0的SCI期刊发表论文2篇及以上;</w:t>
      </w:r>
    </w:p>
    <w:p w14:paraId="7B03EC86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在影响因子≥10.0的SCI期刊发表论文1篇及以上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1B0CAF44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</w:rPr>
        <w:t>获得省部级成果奖二等奖1项及以上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1D80C3C7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项目专利成果转化、转让费在200万元及以上;</w:t>
      </w:r>
    </w:p>
    <w:p w14:paraId="3163B080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</w:rPr>
        <w:t>获得新药或医疗器械临床批件1项及以上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3324D45D">
      <w:pPr>
        <w:pStyle w:val="11"/>
        <w:widowControl/>
        <w:numPr>
          <w:ilvl w:val="0"/>
          <w:numId w:val="0"/>
        </w:numPr>
        <w:spacing w:line="388" w:lineRule="atLeast"/>
        <w:ind w:leftChars="0"/>
        <w:jc w:val="left"/>
        <w:rPr>
          <w:rFonts w:hint="eastAsia" w:ascii="仿宋_GB2312" w:hAnsi="方正小标宋简体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方正小标宋简体" w:eastAsia="仿宋_GB2312"/>
          <w:b/>
          <w:bCs/>
          <w:sz w:val="32"/>
          <w:szCs w:val="32"/>
          <w:highlight w:val="none"/>
          <w:lang w:val="en-US" w:eastAsia="zh-CN"/>
        </w:rPr>
        <w:t>一般项目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的成果至少包含（六个条件满足其一）：</w:t>
      </w:r>
    </w:p>
    <w:p w14:paraId="54423A5B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发表SCI论文2篇及以上，且</w:t>
      </w:r>
      <w:r>
        <w:rPr>
          <w:rFonts w:hint="eastAsia" w:ascii="仿宋_GB2312" w:hAnsi="方正小标宋简体" w:eastAsia="仿宋_GB2312"/>
          <w:sz w:val="32"/>
          <w:szCs w:val="32"/>
        </w:rPr>
        <w:t>在影响因子≥5.0的SCI期刊发表论文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/>
          <w:sz w:val="32"/>
          <w:szCs w:val="32"/>
        </w:rPr>
        <w:t>篇及以上;</w:t>
      </w:r>
    </w:p>
    <w:p w14:paraId="0AAA6917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  <w:highlight w:val="none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在影响因子≥10.0的SCI期刊发表论文1篇及以上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eastAsia="zh-CN"/>
        </w:rPr>
        <w:t>；</w:t>
      </w:r>
    </w:p>
    <w:p w14:paraId="0AD80E39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</w:rPr>
        <w:t>获得省部级成果奖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方正小标宋简体" w:eastAsia="仿宋_GB2312"/>
          <w:sz w:val="32"/>
          <w:szCs w:val="32"/>
        </w:rPr>
        <w:t>等奖1项及以上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2DC2BC03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项目专利成果转化、转让费在100万元及以上;</w:t>
      </w:r>
    </w:p>
    <w:p w14:paraId="029F6C3D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</w:rPr>
        <w:t>获得新药或医疗器械临床批件1项及以上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2F17BB18">
      <w:pPr>
        <w:widowControl/>
        <w:numPr>
          <w:ilvl w:val="0"/>
          <w:numId w:val="0"/>
        </w:numPr>
        <w:spacing w:line="388" w:lineRule="atLeast"/>
        <w:jc w:val="left"/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方正小标宋简体" w:eastAsia="仿宋_GB2312"/>
          <w:b/>
          <w:bCs/>
          <w:sz w:val="32"/>
          <w:szCs w:val="32"/>
          <w:highlight w:val="none"/>
          <w:lang w:val="en-US" w:eastAsia="zh-CN"/>
        </w:rPr>
        <w:t>自由探索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项目的成果至少包含（五个条件满足其一）：</w:t>
      </w:r>
    </w:p>
    <w:p w14:paraId="02FCD389">
      <w:pPr>
        <w:widowControl/>
        <w:numPr>
          <w:ilvl w:val="0"/>
          <w:numId w:val="5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在影响因子≥5.0的SCI期刊发表论文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/>
          <w:sz w:val="32"/>
          <w:szCs w:val="32"/>
        </w:rPr>
        <w:t>篇及以上;</w:t>
      </w:r>
    </w:p>
    <w:p w14:paraId="0C3F5362">
      <w:pPr>
        <w:widowControl/>
        <w:numPr>
          <w:ilvl w:val="0"/>
          <w:numId w:val="5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  <w:highlight w:val="none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获得省部级成果奖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等奖1项及以上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eastAsia="zh-CN"/>
        </w:rPr>
        <w:t>；</w:t>
      </w:r>
    </w:p>
    <w:p w14:paraId="3D0605A4">
      <w:pPr>
        <w:widowControl/>
        <w:numPr>
          <w:ilvl w:val="0"/>
          <w:numId w:val="5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  <w:highlight w:val="none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项目专利成果转化、转让费在50万元及以上;</w:t>
      </w:r>
    </w:p>
    <w:p w14:paraId="2B6F2365">
      <w:pPr>
        <w:widowControl/>
        <w:numPr>
          <w:ilvl w:val="0"/>
          <w:numId w:val="5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获得新药或医疗器械临床批件1项及以上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eastAsia="zh-CN"/>
        </w:rPr>
        <w:t>；</w:t>
      </w:r>
    </w:p>
    <w:p w14:paraId="57A7FCE3">
      <w:pPr>
        <w:widowControl/>
        <w:numPr>
          <w:ilvl w:val="0"/>
          <w:numId w:val="6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课题研究人员在开放课题资助下取得的成果，由实验室和课题研究人员所在单位共享。</w:t>
      </w:r>
    </w:p>
    <w:p w14:paraId="2DDA122D">
      <w:pPr>
        <w:widowControl/>
        <w:numPr>
          <w:ilvl w:val="0"/>
          <w:numId w:val="6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课题资助下取得的成果，完成单位必须标注实验室。重点项目和面上项目，实验室应作为第一作者（指排名第一位的作者）或者通讯作者（指排名最后一位的作者）的第一单位；自由探索项目的成果，实验室可以作为共同第一或共同通讯作者单位。</w:t>
      </w:r>
    </w:p>
    <w:p w14:paraId="24AAD63E">
      <w:pPr>
        <w:widowControl/>
        <w:numPr>
          <w:ilvl w:val="0"/>
          <w:numId w:val="6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管理规定参照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《国家卫生健康委核技术医学转化重点实验室开放课题管理办法》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国卫核重发〔202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74213CB2">
      <w:pPr>
        <w:pStyle w:val="11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五、其他说明</w:t>
      </w:r>
    </w:p>
    <w:p w14:paraId="6A3F4778">
      <w:pPr>
        <w:widowControl/>
        <w:numPr>
          <w:ilvl w:val="0"/>
          <w:numId w:val="0"/>
        </w:numPr>
        <w:spacing w:line="388" w:lineRule="atLeas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所有申报项目均需符合《国家卫生健康委员会核技术医学转化重点实验室开放课题管理办法》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 w14:paraId="790D9279">
      <w:pPr>
        <w:widowControl/>
        <w:numPr>
          <w:ilvl w:val="0"/>
          <w:numId w:val="7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开放课题研究期限为3年（202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年12月31日）。</w:t>
      </w:r>
    </w:p>
    <w:p w14:paraId="3D8B3C4F">
      <w:pPr>
        <w:widowControl/>
        <w:numPr>
          <w:ilvl w:val="0"/>
          <w:numId w:val="7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开放课题申报书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科研诚信承诺书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签字扫描件，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前发送至实验室邮箱：zxyyyjzx@126.com，文件请注明“姓名+核医学开放课题申请”。</w:t>
      </w:r>
    </w:p>
    <w:p w14:paraId="7ACFBEBE">
      <w:pPr>
        <w:widowControl/>
        <w:numPr>
          <w:ilvl w:val="0"/>
          <w:numId w:val="7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如有问题，请联系李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，电话：15700281862。</w:t>
      </w:r>
    </w:p>
    <w:p w14:paraId="2C1DD181">
      <w:pPr>
        <w:widowControl/>
        <w:numPr>
          <w:ilvl w:val="0"/>
          <w:numId w:val="0"/>
        </w:numPr>
        <w:tabs>
          <w:tab w:val="left" w:pos="420"/>
        </w:tabs>
        <w:spacing w:line="388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D2B4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附件1：国家卫生健康委核技术医学转化重点实验室202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年开放课题申报指南</w:t>
      </w:r>
    </w:p>
    <w:p w14:paraId="6FED52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附件2：国家卫健委核技术医学转化重点实验室开放课题申请书</w:t>
      </w:r>
    </w:p>
    <w:p w14:paraId="5BF074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附件3：国家卫生健康委员会核技术医学转化重点实验室开放课题管理办法</w:t>
      </w:r>
    </w:p>
    <w:p w14:paraId="3E6849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附件4：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国家卫生健康委员会核技术医学转化重点实验室开放课题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科研诚信承诺书</w:t>
      </w:r>
    </w:p>
    <w:p w14:paraId="2E639B20">
      <w:pPr>
        <w:widowControl/>
        <w:numPr>
          <w:ilvl w:val="0"/>
          <w:numId w:val="0"/>
        </w:numPr>
        <w:spacing w:line="388" w:lineRule="atLeas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BF6C24">
      <w:pPr>
        <w:widowControl/>
        <w:numPr>
          <w:ilvl w:val="0"/>
          <w:numId w:val="0"/>
        </w:numPr>
        <w:spacing w:line="388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365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国家卫健委核技术医学转化重点实验室</w:t>
      </w:r>
    </w:p>
    <w:p w14:paraId="25B9F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2024年10月17日</w:t>
      </w:r>
    </w:p>
    <w:p w14:paraId="78184BF3">
      <w:pPr>
        <w:widowControl/>
        <w:numPr>
          <w:ilvl w:val="0"/>
          <w:numId w:val="0"/>
        </w:numPr>
        <w:spacing w:line="388" w:lineRule="atLeas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20FDFEF">
      <w:pPr>
        <w:pStyle w:val="11"/>
        <w:ind w:left="0" w:leftChars="0" w:firstLine="0" w:firstLineChars="0"/>
        <w:jc w:val="left"/>
        <w:rPr>
          <w:rFonts w:ascii="仿宋_GB2312" w:hAnsi="方正小标宋简体" w:eastAsia="仿宋_GB2312"/>
          <w:b/>
          <w:sz w:val="30"/>
          <w:szCs w:val="30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DDC6E"/>
    <w:multiLevelType w:val="singleLevel"/>
    <w:tmpl w:val="CA6DDC6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E63107FB"/>
    <w:multiLevelType w:val="singleLevel"/>
    <w:tmpl w:val="E63107F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FC5BE0B5"/>
    <w:multiLevelType w:val="singleLevel"/>
    <w:tmpl w:val="FC5BE0B5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30"/>
        <w:szCs w:val="30"/>
      </w:rPr>
    </w:lvl>
  </w:abstractNum>
  <w:abstractNum w:abstractNumId="3">
    <w:nsid w:val="17956AB8"/>
    <w:multiLevelType w:val="multilevel"/>
    <w:tmpl w:val="17956AB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AE5C9D"/>
    <w:multiLevelType w:val="multilevel"/>
    <w:tmpl w:val="3AAE5C9D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410" w:hanging="57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84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84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8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84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84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84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840"/>
        </w:tabs>
        <w:ind w:left="4620" w:hanging="420"/>
      </w:pPr>
    </w:lvl>
  </w:abstractNum>
  <w:abstractNum w:abstractNumId="5">
    <w:nsid w:val="3F7BDBC3"/>
    <w:multiLevelType w:val="singleLevel"/>
    <w:tmpl w:val="3F7BDBC3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30"/>
        <w:szCs w:val="30"/>
      </w:rPr>
    </w:lvl>
  </w:abstractNum>
  <w:abstractNum w:abstractNumId="6">
    <w:nsid w:val="709D00A0"/>
    <w:multiLevelType w:val="singleLevel"/>
    <w:tmpl w:val="709D00A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WZmMDkzMzFiNDJmYWM5ODI4OWZmNDI2OGFjY2IifQ=="/>
  </w:docVars>
  <w:rsids>
    <w:rsidRoot w:val="00D81CC4"/>
    <w:rsid w:val="00087D30"/>
    <w:rsid w:val="000D42E5"/>
    <w:rsid w:val="000E1384"/>
    <w:rsid w:val="000E6804"/>
    <w:rsid w:val="00155BE4"/>
    <w:rsid w:val="00177E51"/>
    <w:rsid w:val="00343706"/>
    <w:rsid w:val="0035141C"/>
    <w:rsid w:val="00360390"/>
    <w:rsid w:val="00386002"/>
    <w:rsid w:val="003E11F6"/>
    <w:rsid w:val="004376C1"/>
    <w:rsid w:val="004A644C"/>
    <w:rsid w:val="004B265C"/>
    <w:rsid w:val="004F53C8"/>
    <w:rsid w:val="005027D8"/>
    <w:rsid w:val="00511480"/>
    <w:rsid w:val="005F30E8"/>
    <w:rsid w:val="0063244D"/>
    <w:rsid w:val="006D5078"/>
    <w:rsid w:val="00717346"/>
    <w:rsid w:val="007366E7"/>
    <w:rsid w:val="007C3D2C"/>
    <w:rsid w:val="0086255E"/>
    <w:rsid w:val="00873989"/>
    <w:rsid w:val="008961C3"/>
    <w:rsid w:val="00912487"/>
    <w:rsid w:val="00925430"/>
    <w:rsid w:val="009A0792"/>
    <w:rsid w:val="00A00471"/>
    <w:rsid w:val="00A335B8"/>
    <w:rsid w:val="00A731F1"/>
    <w:rsid w:val="00A81C33"/>
    <w:rsid w:val="00A86008"/>
    <w:rsid w:val="00B518DE"/>
    <w:rsid w:val="00B70D87"/>
    <w:rsid w:val="00C163BB"/>
    <w:rsid w:val="00C7621C"/>
    <w:rsid w:val="00D408EF"/>
    <w:rsid w:val="00D73AB0"/>
    <w:rsid w:val="00D81CC4"/>
    <w:rsid w:val="00DA7408"/>
    <w:rsid w:val="00E06C5C"/>
    <w:rsid w:val="00E134C8"/>
    <w:rsid w:val="00E152F1"/>
    <w:rsid w:val="00E85E31"/>
    <w:rsid w:val="00EE3A81"/>
    <w:rsid w:val="00EF53A5"/>
    <w:rsid w:val="00F7394A"/>
    <w:rsid w:val="00FC6938"/>
    <w:rsid w:val="0199516D"/>
    <w:rsid w:val="02022B0D"/>
    <w:rsid w:val="02F33A4E"/>
    <w:rsid w:val="05BB1034"/>
    <w:rsid w:val="07D17C85"/>
    <w:rsid w:val="094824A7"/>
    <w:rsid w:val="0AFF0131"/>
    <w:rsid w:val="0CBD2E78"/>
    <w:rsid w:val="0CCD7E98"/>
    <w:rsid w:val="0E8A7809"/>
    <w:rsid w:val="124E3ADD"/>
    <w:rsid w:val="1431691F"/>
    <w:rsid w:val="14D55835"/>
    <w:rsid w:val="16C64858"/>
    <w:rsid w:val="1A7D4148"/>
    <w:rsid w:val="1C8F563F"/>
    <w:rsid w:val="1D141920"/>
    <w:rsid w:val="1F184360"/>
    <w:rsid w:val="21902176"/>
    <w:rsid w:val="23293D16"/>
    <w:rsid w:val="25056259"/>
    <w:rsid w:val="27A23CF4"/>
    <w:rsid w:val="2C0A120C"/>
    <w:rsid w:val="2D8102D5"/>
    <w:rsid w:val="2DCC67A0"/>
    <w:rsid w:val="30E262DA"/>
    <w:rsid w:val="3250023B"/>
    <w:rsid w:val="341E1730"/>
    <w:rsid w:val="357447DB"/>
    <w:rsid w:val="361216CD"/>
    <w:rsid w:val="38652803"/>
    <w:rsid w:val="39900178"/>
    <w:rsid w:val="3AA24AEE"/>
    <w:rsid w:val="3B2E39CE"/>
    <w:rsid w:val="3F9D73BA"/>
    <w:rsid w:val="401926D3"/>
    <w:rsid w:val="42D261AF"/>
    <w:rsid w:val="444302F6"/>
    <w:rsid w:val="487A370A"/>
    <w:rsid w:val="497650EC"/>
    <w:rsid w:val="4A5357A3"/>
    <w:rsid w:val="4ADD7DE7"/>
    <w:rsid w:val="4C7F1110"/>
    <w:rsid w:val="4D53162E"/>
    <w:rsid w:val="4D777F84"/>
    <w:rsid w:val="4DA80190"/>
    <w:rsid w:val="4EAF2CDC"/>
    <w:rsid w:val="4FA65AAF"/>
    <w:rsid w:val="4FBC5F3E"/>
    <w:rsid w:val="4FE45B73"/>
    <w:rsid w:val="50A92936"/>
    <w:rsid w:val="50C84A54"/>
    <w:rsid w:val="54887C9B"/>
    <w:rsid w:val="54C24E4B"/>
    <w:rsid w:val="56733057"/>
    <w:rsid w:val="56F6765C"/>
    <w:rsid w:val="57AE5E18"/>
    <w:rsid w:val="587215BE"/>
    <w:rsid w:val="5AA47C48"/>
    <w:rsid w:val="5B0B1092"/>
    <w:rsid w:val="5DF8189B"/>
    <w:rsid w:val="5E61221D"/>
    <w:rsid w:val="5E6D03D9"/>
    <w:rsid w:val="5FE464DF"/>
    <w:rsid w:val="605D2213"/>
    <w:rsid w:val="6323417D"/>
    <w:rsid w:val="63EA700E"/>
    <w:rsid w:val="63F0603D"/>
    <w:rsid w:val="648640AD"/>
    <w:rsid w:val="680A363F"/>
    <w:rsid w:val="6B1A5928"/>
    <w:rsid w:val="6DFA6436"/>
    <w:rsid w:val="6F3C60FE"/>
    <w:rsid w:val="73B30EEE"/>
    <w:rsid w:val="77785B36"/>
    <w:rsid w:val="7D1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1451</Words>
  <Characters>1547</Characters>
  <Lines>5</Lines>
  <Paragraphs>1</Paragraphs>
  <TotalTime>231</TotalTime>
  <ScaleCrop>false</ScaleCrop>
  <LinksUpToDate>false</LinksUpToDate>
  <CharactersWithSpaces>1551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2021-07-05T02:41:00Z</dcterms:created>
  <dc:creator>Dell</dc:creator>
  <cp:lastModifiedBy>咯吉咯吱</cp:lastModifiedBy>
  <cp:lastPrinted>2024-10-11T03:52:00Z</cp:lastPrinted>
  <dcterms:modified xsi:type="dcterms:W3CDTF">2024-10-17T06:49:23Z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CF02E31CAA4242D39F571AEC20E744F8_13</vt:lpwstr>
  </property>
</Properties>
</file>