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51号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rPr>
        <w:t>酒店餐饮及场地租赁服务</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10</w:t>
      </w:r>
      <w:r>
        <w:rPr>
          <w:rFonts w:hint="eastAsia" w:ascii="宋体" w:hAnsi="宋体"/>
          <w:color w:val="000000"/>
          <w:sz w:val="36"/>
        </w:rPr>
        <w:t>月</w:t>
      </w:r>
      <w:bookmarkEnd w:id="1"/>
    </w:p>
    <w:p w14:paraId="60A0C1FF">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2133E173">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9"/>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酒店餐饮及场地租赁服务</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51号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default" w:ascii="仿宋" w:hAnsi="仿宋" w:eastAsia="仿宋" w:cs="仿宋"/>
                <w:sz w:val="22"/>
                <w:lang w:val="en-US" w:eastAsia="zh-CN"/>
              </w:rPr>
            </w:pPr>
            <w:r>
              <w:rPr>
                <w:rFonts w:hint="eastAsia" w:ascii="仿宋" w:hAnsi="仿宋" w:eastAsia="仿宋" w:cs="仿宋"/>
                <w:sz w:val="22"/>
              </w:rPr>
              <w:t>限价：总预算29万元，限价：酒店豪华单人、双人间：320元/间/天，餐标：80元/人/餐。场地租赁费（包含LED、灯光、音响及人员费用）：21万</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30"/>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9"/>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9"/>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9"/>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9"/>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9"/>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9"/>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9"/>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9"/>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9"/>
              <w:spacing w:line="360" w:lineRule="auto"/>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w:t>
            </w:r>
          </w:p>
        </w:tc>
        <w:tc>
          <w:tcPr>
            <w:tcW w:w="6674" w:type="dxa"/>
            <w:vAlign w:val="center"/>
          </w:tcPr>
          <w:p w14:paraId="2BD83292">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采购部门：采购科 </w:t>
            </w:r>
          </w:p>
          <w:p w14:paraId="33257492">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联系方式：尹老师 18081208357</w:t>
            </w:r>
          </w:p>
          <w:p w14:paraId="0D4C0FF2">
            <w:p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（2）主管部门： </w:t>
            </w:r>
          </w:p>
          <w:p w14:paraId="7BEDE10F">
            <w:pPr>
              <w:pStyle w:val="15"/>
              <w:keepNext w:val="0"/>
              <w:keepLines w:val="0"/>
              <w:widowControl/>
              <w:suppressLineNumbers w:val="0"/>
              <w:spacing w:before="75" w:beforeAutospacing="0" w:after="225" w:afterAutospacing="0" w:line="27" w:lineRule="atLeast"/>
              <w:ind w:right="0" w:firstLine="220" w:firstLineChars="100"/>
              <w:jc w:val="left"/>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联系方式：秦老师   18880844161</w:t>
            </w:r>
          </w:p>
          <w:p w14:paraId="3E3198DC">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监督部门：纪委办公室</w:t>
            </w:r>
          </w:p>
          <w:p w14:paraId="5BF7C8E0">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联系方式：0816-</w:t>
            </w:r>
            <w:r>
              <w:rPr>
                <w:rFonts w:hint="eastAsia" w:ascii="仿宋" w:hAnsi="仿宋" w:eastAsia="仿宋" w:cs="仿宋"/>
                <w:kern w:val="2"/>
                <w:sz w:val="22"/>
                <w:szCs w:val="22"/>
                <w:lang w:val="zh-CN" w:eastAsia="zh-CN" w:bidi="ar-SA"/>
              </w:rPr>
              <w:t>2237353</w:t>
            </w:r>
          </w:p>
          <w:p w14:paraId="38868D0A">
            <w:pPr>
              <w:spacing w:line="360" w:lineRule="auto"/>
              <w:ind w:left="210" w:leftChars="100"/>
              <w:rPr>
                <w:rFonts w:hint="eastAsia" w:ascii="仿宋" w:hAnsi="仿宋" w:eastAsia="仿宋" w:cs="仿宋"/>
                <w:kern w:val="2"/>
                <w:sz w:val="22"/>
                <w:szCs w:val="22"/>
                <w:lang w:val="en-US" w:eastAsia="zh-CN" w:bidi="ar-SA"/>
              </w:rPr>
            </w:pPr>
          </w:p>
        </w:tc>
      </w:tr>
    </w:tbl>
    <w:p w14:paraId="40DA6255">
      <w:pPr>
        <w:pStyle w:val="25"/>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9"/>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供应商资格审查及符合性审查</w:t>
      </w:r>
      <w:bookmarkEnd w:id="4"/>
      <w:bookmarkEnd w:id="5"/>
      <w:bookmarkEnd w:id="6"/>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7"/>
      </w:pPr>
    </w:p>
    <w:p w14:paraId="1D6382AD">
      <w:pPr>
        <w:pStyle w:val="27"/>
      </w:pPr>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186BE0AF">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国（绵阳）科技城2024年核医疗创新发展大会暨涪江实验室、国家卫生健康委核技术医学转化重点实验室年会期间提供会议专家酒店住宿、餐饮服务，采购场地（包含LED、灯光、音响及人员费用）满足会议要求。</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715CEF64">
      <w:pPr>
        <w:pStyle w:val="30"/>
        <w:numPr>
          <w:ilvl w:val="0"/>
          <w:numId w:val="16"/>
        </w:numPr>
        <w:spacing w:line="500" w:lineRule="exact"/>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提供豪华双床房,豪华大床房，根据实际入住房间数量据实结算。</w:t>
      </w:r>
    </w:p>
    <w:p w14:paraId="39FE1DAB">
      <w:pPr>
        <w:numPr>
          <w:ilvl w:val="0"/>
          <w:numId w:val="16"/>
        </w:numPr>
        <w:spacing w:line="5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会议场地要求：</w:t>
      </w:r>
    </w:p>
    <w:p w14:paraId="6A207729">
      <w:pPr>
        <w:pStyle w:val="30"/>
        <w:numPr>
          <w:ilvl w:val="0"/>
          <w:numId w:val="17"/>
        </w:numPr>
        <w:tabs>
          <w:tab w:val="left" w:pos="312"/>
        </w:tabs>
        <w:spacing w:line="500" w:lineRule="exact"/>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主会场≥1200平方，使用时间1天。</w:t>
      </w:r>
    </w:p>
    <w:p w14:paraId="72C4A616">
      <w:pPr>
        <w:pStyle w:val="30"/>
        <w:numPr>
          <w:ilvl w:val="0"/>
          <w:numId w:val="17"/>
        </w:numPr>
        <w:tabs>
          <w:tab w:val="left" w:pos="312"/>
        </w:tabs>
        <w:spacing w:line="500" w:lineRule="exact"/>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分会场一≥450平方，使用时间1天。提供LED屏幕、音响及灯光。LED屏幕≥9平方。</w:t>
      </w:r>
    </w:p>
    <w:p w14:paraId="2C17310E">
      <w:pPr>
        <w:pStyle w:val="30"/>
        <w:numPr>
          <w:ilvl w:val="0"/>
          <w:numId w:val="17"/>
        </w:numPr>
        <w:tabs>
          <w:tab w:val="left" w:pos="312"/>
        </w:tabs>
        <w:spacing w:line="500" w:lineRule="exact"/>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分会场二：≥240平方，使用时间1天。提供LED屏幕、音响及灯光。LED屏幕≥9平方。</w:t>
      </w:r>
    </w:p>
    <w:p w14:paraId="713F63A4">
      <w:pPr>
        <w:pStyle w:val="30"/>
        <w:numPr>
          <w:ilvl w:val="0"/>
          <w:numId w:val="17"/>
        </w:numPr>
        <w:tabs>
          <w:tab w:val="left" w:pos="312"/>
        </w:tabs>
        <w:spacing w:line="500" w:lineRule="exact"/>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分会场三：≥300平方，使用时间1天。提供LED屏幕、音响及灯光。LED屏幕≥9平方。</w:t>
      </w:r>
    </w:p>
    <w:p w14:paraId="4EA8A977">
      <w:pPr>
        <w:numPr>
          <w:ilvl w:val="0"/>
          <w:numId w:val="16"/>
        </w:numPr>
        <w:spacing w:line="5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会场服务要求①主背景P3LED屏≥120㎡。②舞台、舞台木工基础、地毯、舞台斜板LED屏≥10㎡。③音响、线阵音响1套、反听1套、无线话筒6支、鹅颈麦6支。④TRUSS架≥280米,包裹1套,面光灯34台，光束38台,LED染色灯56台。</w:t>
      </w:r>
    </w:p>
    <w:p w14:paraId="1120742E">
      <w:pPr>
        <w:numPr>
          <w:ilvl w:val="0"/>
          <w:numId w:val="16"/>
        </w:numPr>
        <w:spacing w:line="5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服务人员要求： 灯光师1人、音控师1人、屏控师+分屏处理器1人。</w:t>
      </w:r>
    </w:p>
    <w:p w14:paraId="5BE33C22">
      <w:pPr>
        <w:numPr>
          <w:ilvl w:val="0"/>
          <w:numId w:val="16"/>
        </w:numPr>
        <w:spacing w:line="5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提供自助餐服务，至少满足80人就餐餐。根据实际用餐人数据实结算。</w:t>
      </w:r>
    </w:p>
    <w:p w14:paraId="28669727">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酒店位置：距离科博会主会场九洲体育馆1000米以内。</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bookmarkStart w:id="80" w:name="_GoBack"/>
      <w:bookmarkEnd w:id="80"/>
    </w:p>
    <w:p w14:paraId="41A7287C">
      <w:pPr>
        <w:pStyle w:val="47"/>
        <w:numPr>
          <w:ilvl w:val="0"/>
          <w:numId w:val="18"/>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成交供应商需在收到成交通知书30日内与采购人主管部门签订合同。</w:t>
      </w:r>
    </w:p>
    <w:p w14:paraId="41CC88A0">
      <w:pPr>
        <w:pStyle w:val="47"/>
        <w:numPr>
          <w:ilvl w:val="0"/>
          <w:numId w:val="18"/>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履约期限：2024年11月1-16日</w:t>
      </w:r>
    </w:p>
    <w:p w14:paraId="415BF105">
      <w:pPr>
        <w:pStyle w:val="47"/>
        <w:numPr>
          <w:ilvl w:val="0"/>
          <w:numId w:val="18"/>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付款方式：酒店住宿和餐饮据实结算，场地租赁费用按照中标价格结算。采购人收到中标人提交完备票据凭证资料后30日内支付100%货款。</w:t>
      </w:r>
    </w:p>
    <w:p w14:paraId="40389C46">
      <w:pPr>
        <w:pStyle w:val="47"/>
        <w:numPr>
          <w:ilvl w:val="0"/>
          <w:numId w:val="18"/>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验收要求：满足服务需求。</w:t>
      </w:r>
    </w:p>
    <w:p w14:paraId="491A4622">
      <w:pPr>
        <w:pStyle w:val="47"/>
        <w:jc w:val="left"/>
        <w:rPr>
          <w:rFonts w:hint="eastAsia"/>
          <w:kern w:val="0"/>
          <w:sz w:val="24"/>
          <w:szCs w:val="24"/>
        </w:rPr>
      </w:pPr>
    </w:p>
    <w:p w14:paraId="076DD843">
      <w:pPr>
        <w:pStyle w:val="7"/>
        <w:numPr>
          <w:numId w:val="0"/>
        </w:numPr>
        <w:ind w:leftChars="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29819"/>
      <w:bookmarkStart w:id="14" w:name="_Toc4960"/>
      <w:bookmarkStart w:id="15" w:name="_Toc5913"/>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32352"/>
      <w:bookmarkStart w:id="21" w:name="_Toc1544"/>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7163"/>
      <w:bookmarkStart w:id="25" w:name="_Toc24859"/>
      <w:bookmarkStart w:id="26" w:name="_Toc32749"/>
      <w:bookmarkStart w:id="27" w:name="_Toc1690"/>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6803"/>
      <w:bookmarkStart w:id="30" w:name="_Toc3558"/>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5996"/>
      <w:bookmarkStart w:id="33" w:name="_Toc2989"/>
      <w:bookmarkStart w:id="34" w:name="_Toc27135"/>
      <w:bookmarkStart w:id="35" w:name="_Toc2752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19987"/>
      <w:bookmarkStart w:id="38" w:name="_Toc5056"/>
      <w:bookmarkStart w:id="39" w:name="_Toc7233"/>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11352"/>
      <w:bookmarkStart w:id="41" w:name="_Toc16029"/>
      <w:bookmarkStart w:id="42" w:name="_Toc6482"/>
      <w:bookmarkStart w:id="43" w:name="_Toc21519"/>
      <w:bookmarkStart w:id="44" w:name="_Toc3023"/>
      <w:bookmarkStart w:id="45" w:name="_Toc14829"/>
    </w:p>
    <w:p w14:paraId="432AAC86">
      <w:pPr>
        <w:rPr>
          <w:rStyle w:val="33"/>
          <w:rFonts w:ascii="仿宋" w:hAnsi="仿宋" w:eastAsia="仿宋" w:cs="仿宋"/>
          <w:b/>
          <w:bCs/>
          <w:sz w:val="32"/>
          <w:szCs w:val="28"/>
        </w:rPr>
      </w:pPr>
      <w:r>
        <w:rPr>
          <w:rStyle w:val="33"/>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22676"/>
      <w:bookmarkStart w:id="47" w:name="_Toc31838"/>
      <w:bookmarkStart w:id="48" w:name="_Toc30971"/>
      <w:bookmarkStart w:id="49" w:name="_Toc4305"/>
      <w:bookmarkStart w:id="50" w:name="_Toc17857"/>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3"/>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3"/>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2"/>
        <w:ind w:left="420" w:leftChars="200"/>
        <w:jc w:val="both"/>
        <w:rPr>
          <w:rFonts w:ascii="仿宋" w:hAnsi="仿宋" w:eastAsia="仿宋" w:cs="仿宋"/>
          <w:color w:val="auto"/>
        </w:rPr>
      </w:pPr>
    </w:p>
    <w:p w14:paraId="6425DBA0">
      <w:pPr>
        <w:pStyle w:val="32"/>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15526"/>
      <w:bookmarkStart w:id="60" w:name="_Toc27661"/>
      <w:bookmarkStart w:id="61" w:name="_Toc12015"/>
      <w:bookmarkStart w:id="62" w:name="_Toc25638"/>
      <w:bookmarkStart w:id="63" w:name="_Toc20589"/>
      <w:bookmarkStart w:id="64" w:name="_Toc11351"/>
      <w:r>
        <w:rPr>
          <w:rStyle w:val="41"/>
          <w:rFonts w:hint="eastAsia"/>
          <w:b/>
        </w:rPr>
        <w:t>法定代表人身份证明书</w:t>
      </w:r>
      <w:bookmarkEnd w:id="59"/>
      <w:bookmarkEnd w:id="60"/>
      <w:bookmarkEnd w:id="61"/>
      <w:bookmarkEnd w:id="62"/>
      <w:bookmarkEnd w:id="63"/>
      <w:bookmarkEnd w:id="64"/>
    </w:p>
    <w:p w14:paraId="739190FD">
      <w:pPr>
        <w:pStyle w:val="32"/>
        <w:jc w:val="center"/>
        <w:rPr>
          <w:rFonts w:ascii="仿宋" w:hAnsi="仿宋" w:eastAsia="仿宋" w:cs="仿宋"/>
          <w:color w:val="auto"/>
        </w:rPr>
      </w:pPr>
    </w:p>
    <w:p w14:paraId="2AE10232">
      <w:pPr>
        <w:pStyle w:val="3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2"/>
        <w:jc w:val="center"/>
        <w:rPr>
          <w:rFonts w:ascii="仿宋" w:hAnsi="仿宋" w:eastAsia="仿宋" w:cs="仿宋"/>
          <w:color w:val="auto"/>
        </w:rPr>
      </w:pPr>
    </w:p>
    <w:p w14:paraId="2BD90129">
      <w:pPr>
        <w:pStyle w:val="32"/>
        <w:jc w:val="center"/>
        <w:rPr>
          <w:rFonts w:ascii="仿宋" w:hAnsi="仿宋" w:eastAsia="仿宋" w:cs="仿宋"/>
          <w:color w:val="auto"/>
        </w:rPr>
      </w:pPr>
    </w:p>
    <w:p w14:paraId="27A28C46">
      <w:pPr>
        <w:pStyle w:val="32"/>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2"/>
        <w:rPr>
          <w:rFonts w:ascii="仿宋" w:hAnsi="仿宋" w:eastAsia="仿宋" w:cs="仿宋"/>
          <w:color w:val="auto"/>
        </w:rPr>
      </w:pPr>
      <w:r>
        <w:rPr>
          <w:rFonts w:hint="eastAsia" w:ascii="仿宋" w:hAnsi="仿宋" w:eastAsia="仿宋" w:cs="仿宋"/>
          <w:color w:val="auto"/>
        </w:rPr>
        <w:t>特此证明。</w:t>
      </w:r>
    </w:p>
    <w:p w14:paraId="6E31BE7D">
      <w:pPr>
        <w:pStyle w:val="32"/>
        <w:jc w:val="both"/>
        <w:rPr>
          <w:rFonts w:ascii="仿宋" w:hAnsi="仿宋" w:eastAsia="仿宋" w:cs="仿宋"/>
          <w:color w:val="auto"/>
        </w:rPr>
      </w:pPr>
    </w:p>
    <w:p w14:paraId="41F02844">
      <w:pPr>
        <w:pStyle w:val="32"/>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2"/>
        <w:jc w:val="center"/>
        <w:rPr>
          <w:rFonts w:ascii="仿宋" w:hAnsi="仿宋" w:eastAsia="仿宋" w:cs="仿宋"/>
          <w:color w:val="auto"/>
        </w:rPr>
      </w:pPr>
    </w:p>
    <w:p w14:paraId="132DE23F">
      <w:pPr>
        <w:pStyle w:val="32"/>
        <w:jc w:val="center"/>
        <w:rPr>
          <w:rFonts w:ascii="仿宋" w:hAnsi="仿宋" w:eastAsia="仿宋" w:cs="仿宋"/>
          <w:color w:val="auto"/>
        </w:rPr>
      </w:pPr>
    </w:p>
    <w:p w14:paraId="2F3B95EF">
      <w:pPr>
        <w:pStyle w:val="32"/>
        <w:rPr>
          <w:rFonts w:ascii="仿宋" w:hAnsi="仿宋" w:eastAsia="仿宋" w:cs="仿宋"/>
          <w:color w:val="auto"/>
        </w:rPr>
      </w:pPr>
      <w:r>
        <w:rPr>
          <w:rFonts w:hint="eastAsia" w:ascii="仿宋" w:hAnsi="仿宋" w:eastAsia="仿宋" w:cs="仿宋"/>
          <w:color w:val="auto"/>
        </w:rPr>
        <w:t>注：</w:t>
      </w:r>
    </w:p>
    <w:p w14:paraId="3EBC2BA9">
      <w:pPr>
        <w:pStyle w:val="32"/>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2"/>
        <w:jc w:val="both"/>
        <w:rPr>
          <w:rFonts w:ascii="仿宋" w:hAnsi="仿宋" w:eastAsia="仿宋" w:cs="仿宋"/>
          <w:color w:val="auto"/>
          <w:sz w:val="32"/>
          <w:szCs w:val="32"/>
        </w:rPr>
      </w:pPr>
    </w:p>
    <w:p w14:paraId="2274FE01">
      <w:pPr>
        <w:pStyle w:val="3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3"/>
          <w:rFonts w:hint="eastAsia" w:ascii="仿宋" w:hAnsi="仿宋" w:eastAsia="仿宋" w:cs="仿宋"/>
          <w:b/>
          <w:bCs/>
          <w:color w:val="auto"/>
          <w:kern w:val="2"/>
          <w:sz w:val="32"/>
          <w:szCs w:val="28"/>
        </w:rPr>
        <w:t>法定代表人授权委托书</w:t>
      </w:r>
    </w:p>
    <w:p w14:paraId="19736B58">
      <w:pPr>
        <w:pStyle w:val="32"/>
        <w:jc w:val="center"/>
        <w:rPr>
          <w:rFonts w:ascii="仿宋" w:hAnsi="仿宋" w:eastAsia="仿宋" w:cs="仿宋"/>
          <w:b/>
          <w:bCs/>
          <w:color w:val="auto"/>
        </w:rPr>
      </w:pPr>
    </w:p>
    <w:p w14:paraId="48F0ED96">
      <w:pPr>
        <w:pStyle w:val="3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2"/>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41"/>
          <w:rFonts w:ascii="仿宋" w:hAnsi="仿宋" w:cs="仿宋"/>
          <w:b/>
          <w:szCs w:val="32"/>
        </w:rPr>
      </w:pPr>
      <w:r>
        <w:rPr>
          <w:rFonts w:hint="eastAsia" w:ascii="仿宋" w:hAnsi="仿宋" w:cs="仿宋"/>
          <w:szCs w:val="32"/>
        </w:rPr>
        <w:br w:type="page"/>
      </w:r>
      <w:bookmarkStart w:id="65" w:name="_Toc1074"/>
      <w:bookmarkStart w:id="66" w:name="_Toc26969"/>
      <w:bookmarkStart w:id="67" w:name="_Toc23967"/>
      <w:bookmarkStart w:id="68" w:name="_Toc16435"/>
      <w:bookmarkStart w:id="69" w:name="_Toc2041"/>
      <w:bookmarkStart w:id="70" w:name="_Toc12967"/>
      <w:r>
        <w:rPr>
          <w:rStyle w:val="41"/>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41"/>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9"/>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2"/>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41"/>
          <w:b/>
        </w:rPr>
      </w:pPr>
    </w:p>
    <w:p w14:paraId="42E6840D">
      <w:pPr>
        <w:pStyle w:val="3"/>
        <w:numPr>
          <w:ilvl w:val="0"/>
          <w:numId w:val="0"/>
        </w:numPr>
        <w:ind w:firstLine="3534" w:firstLineChars="1100"/>
        <w:jc w:val="both"/>
        <w:rPr>
          <w:rStyle w:val="41"/>
          <w:b/>
        </w:rPr>
      </w:pPr>
    </w:p>
    <w:p w14:paraId="47348BD0">
      <w:pPr>
        <w:pStyle w:val="3"/>
        <w:numPr>
          <w:ilvl w:val="0"/>
          <w:numId w:val="0"/>
        </w:numPr>
        <w:ind w:firstLine="3534" w:firstLineChars="1100"/>
        <w:jc w:val="both"/>
        <w:rPr>
          <w:rStyle w:val="41"/>
          <w:b/>
        </w:rPr>
      </w:pPr>
    </w:p>
    <w:p w14:paraId="2715831A">
      <w:pPr>
        <w:pStyle w:val="3"/>
        <w:numPr>
          <w:ilvl w:val="0"/>
          <w:numId w:val="0"/>
        </w:numPr>
        <w:ind w:firstLine="3534" w:firstLineChars="1100"/>
        <w:jc w:val="both"/>
        <w:rPr>
          <w:rStyle w:val="41"/>
          <w:b/>
        </w:rPr>
      </w:pPr>
    </w:p>
    <w:p w14:paraId="0C587FF5">
      <w:pPr>
        <w:pStyle w:val="3"/>
        <w:numPr>
          <w:ilvl w:val="0"/>
          <w:numId w:val="0"/>
        </w:numPr>
        <w:ind w:firstLine="3534" w:firstLineChars="1100"/>
        <w:jc w:val="both"/>
        <w:rPr>
          <w:rStyle w:val="41"/>
          <w:b/>
        </w:rPr>
      </w:pPr>
    </w:p>
    <w:p w14:paraId="574913F8">
      <w:pPr>
        <w:pStyle w:val="3"/>
        <w:numPr>
          <w:ilvl w:val="0"/>
          <w:numId w:val="0"/>
        </w:numPr>
        <w:ind w:firstLine="3534" w:firstLineChars="1100"/>
        <w:jc w:val="both"/>
        <w:rPr>
          <w:rStyle w:val="41"/>
          <w:b/>
        </w:rPr>
      </w:pPr>
    </w:p>
    <w:p w14:paraId="153E7452">
      <w:pPr>
        <w:pStyle w:val="3"/>
        <w:numPr>
          <w:ilvl w:val="0"/>
          <w:numId w:val="0"/>
        </w:numPr>
        <w:ind w:firstLine="3534" w:firstLineChars="1100"/>
        <w:jc w:val="both"/>
        <w:rPr>
          <w:rStyle w:val="41"/>
          <w:b/>
        </w:rPr>
      </w:pPr>
    </w:p>
    <w:p w14:paraId="5625D93D">
      <w:pPr>
        <w:pStyle w:val="3"/>
        <w:numPr>
          <w:ilvl w:val="0"/>
          <w:numId w:val="0"/>
        </w:numPr>
        <w:ind w:firstLine="3534" w:firstLineChars="1100"/>
        <w:jc w:val="both"/>
        <w:rPr>
          <w:rStyle w:val="41"/>
          <w:b/>
        </w:rPr>
      </w:pPr>
    </w:p>
    <w:p w14:paraId="6F96ACD4">
      <w:pPr>
        <w:pStyle w:val="3"/>
        <w:numPr>
          <w:ilvl w:val="0"/>
          <w:numId w:val="0"/>
        </w:numPr>
        <w:ind w:firstLine="3534" w:firstLineChars="1100"/>
        <w:jc w:val="both"/>
        <w:rPr>
          <w:rFonts w:ascii="仿宋" w:hAnsi="仿宋" w:cs="仿宋"/>
          <w:szCs w:val="32"/>
        </w:rPr>
      </w:pPr>
      <w:r>
        <w:rPr>
          <w:rStyle w:val="41"/>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9"/>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2"/>
        <w:jc w:val="center"/>
        <w:rPr>
          <w:rFonts w:ascii="仿宋" w:hAnsi="仿宋" w:eastAsia="仿宋" w:cs="仿宋"/>
          <w:color w:val="auto"/>
          <w:sz w:val="32"/>
          <w:szCs w:val="32"/>
        </w:rPr>
      </w:pPr>
    </w:p>
    <w:p w14:paraId="762F9314">
      <w:pPr>
        <w:pStyle w:val="32"/>
        <w:rPr>
          <w:rStyle w:val="33"/>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24494"/>
      <w:bookmarkStart w:id="73" w:name="_Toc3871"/>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14685"/>
      <w:bookmarkStart w:id="76" w:name="_Toc29032"/>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8"/>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C6F161E-E9BA-4303-9AAE-124B36FC637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8816714-18B8-4DCF-854D-30D5FE26F3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68D5581-C005-4871-B5E7-E07C4E832D4B}"/>
  </w:font>
  <w:font w:name="仿宋_GB2312">
    <w:altName w:val="仿宋"/>
    <w:panose1 w:val="00000000000000000000"/>
    <w:charset w:val="86"/>
    <w:family w:val="modern"/>
    <w:pitch w:val="default"/>
    <w:sig w:usb0="00000000" w:usb1="00000000" w:usb2="00000000" w:usb3="00000000" w:csb0="00040000" w:csb1="00000000"/>
    <w:embedRegular r:id="rId4" w:fontKey="{73048EB4-224B-4BEE-A1B0-4671AE3DB7B8}"/>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5" w:fontKey="{F8E5F692-AF15-49AD-B664-AF315369ED6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08210781"/>
    <w:multiLevelType w:val="singleLevel"/>
    <w:tmpl w:val="08210781"/>
    <w:lvl w:ilvl="0" w:tentative="0">
      <w:start w:val="1"/>
      <w:numFmt w:val="decimal"/>
      <w:lvlText w:val="%1、"/>
      <w:lvlJc w:val="left"/>
      <w:pPr>
        <w:tabs>
          <w:tab w:val="left" w:pos="312"/>
        </w:tabs>
      </w:pPr>
      <w:rPr>
        <w:rFonts w:ascii="宋体" w:hAnsi="宋体" w:eastAsia="宋体" w:cs="宋体"/>
      </w:r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4A36447E"/>
    <w:multiLevelType w:val="multilevel"/>
    <w:tmpl w:val="4A364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8C70BA9"/>
    <w:multiLevelType w:val="multilevel"/>
    <w:tmpl w:val="58C70BA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6">
    <w:nsid w:val="68A4155E"/>
    <w:multiLevelType w:val="singleLevel"/>
    <w:tmpl w:val="68A4155E"/>
    <w:lvl w:ilvl="0" w:tentative="0">
      <w:start w:val="1"/>
      <w:numFmt w:val="chineseCounting"/>
      <w:suff w:val="nothing"/>
      <w:lvlText w:val="%1、"/>
      <w:lvlJc w:val="left"/>
      <w:rPr>
        <w:rFonts w:hint="eastAsia"/>
      </w:rPr>
    </w:lvl>
  </w:abstractNum>
  <w:abstractNum w:abstractNumId="17">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5"/>
  </w:num>
  <w:num w:numId="3">
    <w:abstractNumId w:val="11"/>
  </w:num>
  <w:num w:numId="4">
    <w:abstractNumId w:val="17"/>
  </w:num>
  <w:num w:numId="5">
    <w:abstractNumId w:val="8"/>
  </w:num>
  <w:num w:numId="6">
    <w:abstractNumId w:val="15"/>
  </w:num>
  <w:num w:numId="7">
    <w:abstractNumId w:val="10"/>
  </w:num>
  <w:num w:numId="8">
    <w:abstractNumId w:val="4"/>
  </w:num>
  <w:num w:numId="9">
    <w:abstractNumId w:val="12"/>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6"/>
  </w:num>
  <w:num w:numId="16">
    <w:abstractNumId w:val="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7E5040"/>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3263CAC"/>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41"/>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8"/>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4"/>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3"/>
    <w:qFormat/>
    <w:uiPriority w:val="0"/>
    <w:pPr>
      <w:spacing w:after="120" w:line="480" w:lineRule="auto"/>
      <w:ind w:left="420" w:leftChars="200"/>
    </w:pPr>
    <w:rPr>
      <w:szCs w:val="20"/>
    </w:rPr>
  </w:style>
  <w:style w:type="paragraph" w:styleId="11">
    <w:name w:val="Balloon Text"/>
    <w:basedOn w:val="1"/>
    <w:link w:val="40"/>
    <w:qFormat/>
    <w:uiPriority w:val="0"/>
    <w:rPr>
      <w:sz w:val="18"/>
      <w:szCs w:val="18"/>
    </w:r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next w:val="6"/>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annotation subject"/>
    <w:basedOn w:val="5"/>
    <w:next w:val="5"/>
    <w:link w:val="39"/>
    <w:qFormat/>
    <w:uiPriority w:val="0"/>
    <w:rPr>
      <w:b/>
      <w:bCs/>
    </w:rPr>
  </w:style>
  <w:style w:type="paragraph" w:styleId="18">
    <w:name w:val="Body Text First Indent 2"/>
    <w:basedOn w:val="8"/>
    <w:link w:val="37"/>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UserStyle_0"/>
    <w:basedOn w:val="1"/>
    <w:next w:val="1"/>
    <w:qFormat/>
    <w:uiPriority w:val="0"/>
    <w:pPr>
      <w:ind w:left="420" w:leftChars="200"/>
      <w:textAlignment w:val="baseline"/>
    </w:pPr>
  </w:style>
  <w:style w:type="paragraph" w:customStyle="1" w:styleId="25">
    <w:name w:val="标题 5（有编号）（绿盟科技）"/>
    <w:basedOn w:val="26"/>
    <w:next w:val="27"/>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13、表格内居中正文"/>
    <w:basedOn w:val="1"/>
    <w:qFormat/>
    <w:uiPriority w:val="0"/>
    <w:pPr>
      <w:wordWrap w:val="0"/>
      <w:topLinePunct/>
      <w:spacing w:line="360" w:lineRule="exact"/>
      <w:jc w:val="center"/>
    </w:pPr>
    <w:rPr>
      <w:rFonts w:ascii="宋体" w:hAnsi="宋体" w:eastAsia="宋体"/>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0">
    <w:name w:val="List Paragraph"/>
    <w:basedOn w:val="1"/>
    <w:qFormat/>
    <w:uiPriority w:val="0"/>
    <w:pPr>
      <w:spacing w:line="500" w:lineRule="exact"/>
      <w:ind w:firstLine="420" w:firstLineChars="200"/>
    </w:pPr>
    <w:rPr>
      <w:szCs w:val="24"/>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正文文本缩进 2 字符"/>
    <w:link w:val="10"/>
    <w:qFormat/>
    <w:uiPriority w:val="0"/>
    <w:rPr>
      <w:szCs w:val="20"/>
    </w:rPr>
  </w:style>
  <w:style w:type="character" w:customStyle="1" w:styleId="34">
    <w:name w:val="正文首行缩进 字符"/>
    <w:link w:val="7"/>
    <w:qFormat/>
    <w:uiPriority w:val="0"/>
    <w:rPr>
      <w:rFonts w:ascii="仿宋_GB2312" w:hAnsi="仿宋_GB2312" w:eastAsia="仿宋_GB2312"/>
      <w:szCs w:val="20"/>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7">
    <w:name w:val="正文首行缩进 2 字符"/>
    <w:link w:val="18"/>
    <w:qFormat/>
    <w:uiPriority w:val="99"/>
    <w:rPr>
      <w:rFonts w:ascii="宋体" w:hAnsi="Times New Roman"/>
      <w:kern w:val="0"/>
      <w:sz w:val="21"/>
      <w:szCs w:val="24"/>
    </w:rPr>
  </w:style>
  <w:style w:type="character" w:customStyle="1" w:styleId="38">
    <w:name w:val="批注文字 字符"/>
    <w:basedOn w:val="21"/>
    <w:link w:val="5"/>
    <w:qFormat/>
    <w:uiPriority w:val="0"/>
    <w:rPr>
      <w:kern w:val="2"/>
      <w:sz w:val="21"/>
      <w:szCs w:val="22"/>
    </w:rPr>
  </w:style>
  <w:style w:type="character" w:customStyle="1" w:styleId="39">
    <w:name w:val="批注主题 字符"/>
    <w:basedOn w:val="38"/>
    <w:link w:val="17"/>
    <w:qFormat/>
    <w:uiPriority w:val="0"/>
    <w:rPr>
      <w:b/>
      <w:bCs/>
      <w:kern w:val="2"/>
      <w:sz w:val="21"/>
      <w:szCs w:val="22"/>
    </w:rPr>
  </w:style>
  <w:style w:type="character" w:customStyle="1" w:styleId="40">
    <w:name w:val="批注框文本 字符"/>
    <w:basedOn w:val="21"/>
    <w:link w:val="11"/>
    <w:qFormat/>
    <w:uiPriority w:val="0"/>
    <w:rPr>
      <w:kern w:val="2"/>
      <w:sz w:val="18"/>
      <w:szCs w:val="18"/>
    </w:rPr>
  </w:style>
  <w:style w:type="character" w:customStyle="1" w:styleId="41">
    <w:name w:val="标题 2 字符"/>
    <w:link w:val="3"/>
    <w:qFormat/>
    <w:uiPriority w:val="0"/>
    <w:rPr>
      <w:rFonts w:ascii="Times New Roman" w:hAnsi="Times New Roman" w:eastAsia="仿宋" w:cs="Times New Roman"/>
      <w:b/>
      <w:sz w:val="32"/>
    </w:rPr>
  </w:style>
  <w:style w:type="paragraph" w:customStyle="1" w:styleId="42">
    <w:name w:val="_Style 2"/>
    <w:basedOn w:val="1"/>
    <w:qFormat/>
    <w:uiPriority w:val="0"/>
    <w:pPr>
      <w:ind w:firstLine="420" w:firstLineChars="200"/>
    </w:pPr>
    <w:rPr>
      <w:sz w:val="18"/>
      <w:szCs w:val="18"/>
    </w:rPr>
  </w:style>
  <w:style w:type="paragraph" w:styleId="4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4">
    <w:name w:val="列出段落1"/>
    <w:basedOn w:val="1"/>
    <w:qFormat/>
    <w:uiPriority w:val="0"/>
    <w:pPr>
      <w:ind w:firstLine="420" w:firstLineChars="200"/>
    </w:pPr>
    <w:rPr>
      <w:rFonts w:ascii="Times New Roman" w:hAnsi="Times New Roman" w:eastAsia="宋体" w:cs="Times New Roman"/>
      <w:szCs w:val="20"/>
    </w:rPr>
  </w:style>
  <w:style w:type="character" w:customStyle="1" w:styleId="45">
    <w:name w:val="页脚 字符"/>
    <w:basedOn w:val="21"/>
    <w:link w:val="12"/>
    <w:qFormat/>
    <w:uiPriority w:val="99"/>
    <w:rPr>
      <w:rFonts w:asciiTheme="minorHAnsi" w:hAnsiTheme="minorHAnsi" w:eastAsiaTheme="minorEastAsia" w:cstheme="minorBidi"/>
      <w:kern w:val="2"/>
      <w:sz w:val="18"/>
      <w:szCs w:val="18"/>
    </w:rPr>
  </w:style>
  <w:style w:type="character" w:customStyle="1" w:styleId="46">
    <w:name w:val="页眉 字符"/>
    <w:basedOn w:val="21"/>
    <w:link w:val="13"/>
    <w:qFormat/>
    <w:uiPriority w:val="99"/>
    <w:rPr>
      <w:rFonts w:asciiTheme="minorHAnsi" w:hAnsiTheme="minorHAnsi" w:eastAsiaTheme="minorEastAsia" w:cstheme="minorBidi"/>
      <w:kern w:val="2"/>
      <w:sz w:val="18"/>
      <w:szCs w:val="18"/>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26</Pages>
  <Words>8546</Words>
  <Characters>8963</Characters>
  <Lines>62</Lines>
  <Paragraphs>17</Paragraphs>
  <TotalTime>0</TotalTime>
  <ScaleCrop>false</ScaleCrop>
  <LinksUpToDate>false</LinksUpToDate>
  <CharactersWithSpaces>9202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2024-10-17T15:45:30Z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E358EA40493542479A4800299BF3C31B_13</vt:lpwstr>
  </property>
</Properties>
</file>