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经导管主动脉瓣膜系统及配套装置</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比选（2024）313号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对经导管主动脉瓣膜系统及配套装置</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经导管主动脉瓣膜系统及配套装置</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经导管主动脉瓣膜系统及配套装置</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1、产品由经导管主动脉瓣膜、经导管主动脉瓣膜输送系统、导管鞘套件、经股动脉球囊导管、瓣膜预置装等组成；2、用于重度钙化性自体主动脉瓣狭窄的患者。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33D3669C">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5FE2C3-84F4-4A79-A5D7-59DB5EE2A3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D66B262-DF15-4099-BA1F-54D9F344A5D9}"/>
  </w:font>
  <w:font w:name="仿宋">
    <w:panose1 w:val="02010609060101010101"/>
    <w:charset w:val="86"/>
    <w:family w:val="modern"/>
    <w:pitch w:val="default"/>
    <w:sig w:usb0="800002BF" w:usb1="38CF7CFA" w:usb2="00000016" w:usb3="00000000" w:csb0="00040001" w:csb1="00000000"/>
    <w:embedRegular r:id="rId3" w:fontKey="{5E6ACC92-9972-4036-9786-E20BD65734C4}"/>
  </w:font>
  <w:font w:name="方正仿宋_GB2312">
    <w:panose1 w:val="02000000000000000000"/>
    <w:charset w:val="86"/>
    <w:family w:val="auto"/>
    <w:pitch w:val="default"/>
    <w:sig w:usb0="A00002BF" w:usb1="184F6CFA" w:usb2="00000012" w:usb3="00000000" w:csb0="00040001" w:csb1="00000000"/>
    <w:embedRegular r:id="rId4" w:fontKey="{2F87F1F6-864D-4334-A61C-5FF514E3014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1</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2024-09-09T06:28:34Z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874C0C24F3B3406BB3FC8C8F48CA1C1B_13</vt:lpwstr>
  </property>
</Properties>
</file>