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42471FDB">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项目名称：根尖定位仪</w:t>
      </w: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241号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4FCBF9EF">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院拟对根尖定位仪进行比选采购，欢迎能提供本货物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0F6F1369">
      <w:pPr>
        <w:numPr>
          <w:ilvl w:val="0"/>
          <w:numId w:val="0"/>
        </w:numPr>
        <w:ind w:firstLine="652" w:firstLineChars="2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根尖定位仪</w:t>
      </w:r>
      <w:r>
        <w:rPr>
          <w:rFonts w:hint="eastAsia" w:ascii="仿宋" w:hAnsi="仿宋" w:eastAsia="仿宋" w:cs="仿宋"/>
          <w:spacing w:val="8"/>
          <w:sz w:val="31"/>
          <w:szCs w:val="31"/>
          <w:lang w:val="en-US" w:eastAsia="zh-CN"/>
        </w:rPr>
        <w:t>13</w:t>
      </w:r>
      <w:bookmarkStart w:id="31" w:name="_GoBack"/>
      <w:bookmarkEnd w:id="31"/>
      <w:r>
        <w:rPr>
          <w:rFonts w:hint="eastAsia" w:ascii="仿宋" w:hAnsi="仿宋" w:eastAsia="仿宋" w:cs="仿宋"/>
          <w:spacing w:val="8"/>
          <w:sz w:val="31"/>
          <w:szCs w:val="31"/>
          <w:lang w:val="en-US" w:eastAsia="zh-CN"/>
        </w:rPr>
        <w:t>套</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6B339265">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bookmarkStart w:id="0" w:name="OLE_LINK5"/>
      <w:r>
        <w:rPr>
          <w:rFonts w:hint="eastAsia" w:ascii="仿宋" w:hAnsi="仿宋" w:eastAsia="仿宋" w:cs="仿宋"/>
          <w:snapToGrid w:val="0"/>
          <w:color w:val="000000"/>
          <w:spacing w:val="8"/>
          <w:kern w:val="0"/>
          <w:sz w:val="31"/>
          <w:szCs w:val="31"/>
          <w:lang w:val="en-US" w:eastAsia="zh-CN" w:bidi="ar-SA"/>
        </w:rPr>
        <w:t>用途：用于测量牙根尖位置。</w:t>
      </w:r>
    </w:p>
    <w:p w14:paraId="62CDAC1E">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具有屏幕显示。</w:t>
      </w:r>
    </w:p>
    <w:p w14:paraId="0400313A">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具备可充电电池。</w:t>
      </w:r>
    </w:p>
    <w:p w14:paraId="7F692044">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器械前进的过程中有声音提醒功能。</w:t>
      </w:r>
    </w:p>
    <w:p w14:paraId="118C449F">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在干燥和湿润的根管中都可以工作，其精确度不受是否冲洗或者根管中不同的冲洗液体所影响，随时可以使用 。</w:t>
      </w:r>
    </w:p>
    <w:p w14:paraId="6CAF75D6">
      <w:pPr>
        <w:pStyle w:val="18"/>
        <w:numPr>
          <w:ilvl w:val="0"/>
          <w:numId w:val="2"/>
        </w:numPr>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具有自动关闭功能，长时间未使用可自动关闭。</w:t>
      </w:r>
    </w:p>
    <w:p w14:paraId="1DA9C9EE">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7、单套配置：根尖定位仪主机、充电器一个、测量电缆一条、唇夹一个、连接钩两个。</w:t>
      </w:r>
      <w:bookmarkEnd w:id="0"/>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663030B5">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7353BCE6">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2237AEB3">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742D841">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1" w:name="_Toc13563815"/>
      <w:bookmarkStart w:id="2" w:name="_Toc443397363"/>
      <w:bookmarkStart w:id="3" w:name="_Toc87974341"/>
      <w:bookmarkStart w:id="4" w:name="_Toc11832062"/>
      <w:bookmarkStart w:id="5" w:name="_Toc482266098"/>
      <w:r>
        <w:rPr>
          <w:rFonts w:hint="eastAsia" w:ascii="仿宋" w:hAnsi="仿宋" w:eastAsia="仿宋" w:cs="仿宋"/>
          <w:b/>
          <w:bCs/>
          <w:spacing w:val="8"/>
          <w:sz w:val="31"/>
          <w:szCs w:val="31"/>
        </w:rPr>
        <w:t>技术、服务响应表</w:t>
      </w:r>
      <w:bookmarkEnd w:id="1"/>
      <w:bookmarkEnd w:id="2"/>
      <w:bookmarkEnd w:id="3"/>
      <w:bookmarkEnd w:id="4"/>
      <w:bookmarkEnd w:id="5"/>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6" w:name="_Toc87974343"/>
      <w:r>
        <w:rPr>
          <w:rFonts w:hint="eastAsia" w:ascii="仿宋" w:hAnsi="仿宋" w:eastAsia="仿宋" w:cs="仿宋"/>
          <w:spacing w:val="8"/>
          <w:sz w:val="31"/>
          <w:szCs w:val="31"/>
        </w:rPr>
        <w:t>第三部分  商务</w:t>
      </w:r>
      <w:bookmarkEnd w:id="6"/>
    </w:p>
    <w:p w14:paraId="20368F81">
      <w:pPr>
        <w:rPr>
          <w:rFonts w:ascii="仿宋" w:hAnsi="仿宋" w:eastAsia="仿宋" w:cs="仿宋"/>
          <w:b/>
          <w:bCs/>
          <w:spacing w:val="8"/>
          <w:sz w:val="31"/>
          <w:szCs w:val="31"/>
        </w:rPr>
      </w:pPr>
      <w:bookmarkStart w:id="7" w:name="_Toc482266101"/>
      <w:bookmarkStart w:id="8" w:name="_Toc13563872"/>
      <w:bookmarkStart w:id="9" w:name="_Toc443397365"/>
      <w:bookmarkStart w:id="10" w:name="_Toc11764032"/>
      <w:r>
        <w:rPr>
          <w:rFonts w:hint="eastAsia" w:ascii="仿宋" w:hAnsi="仿宋" w:eastAsia="仿宋" w:cs="仿宋"/>
          <w:b/>
          <w:bCs/>
          <w:spacing w:val="8"/>
          <w:sz w:val="31"/>
          <w:szCs w:val="31"/>
        </w:rPr>
        <w:t>商务应答表</w:t>
      </w:r>
      <w:bookmarkEnd w:id="7"/>
      <w:bookmarkEnd w:id="8"/>
      <w:bookmarkEnd w:id="9"/>
      <w:bookmarkEnd w:id="10"/>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1" w:name="_Toc11764036"/>
      <w:bookmarkStart w:id="12"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1"/>
      <w:bookmarkEnd w:id="12"/>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3" w:name="_Toc11764037"/>
      <w:bookmarkStart w:id="14"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3"/>
      <w:bookmarkEnd w:id="14"/>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5" w:name="_Toc13563878"/>
      <w:bookmarkStart w:id="16"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5"/>
      <w:bookmarkEnd w:id="16"/>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7" w:name="_Toc13563879"/>
      <w:bookmarkStart w:id="18" w:name="_Toc11231749"/>
      <w:bookmarkStart w:id="19"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7"/>
      <w:bookmarkEnd w:id="18"/>
      <w:bookmarkEnd w:id="19"/>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20" w:name="_Toc13563880"/>
      <w:bookmarkStart w:id="21"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20"/>
      <w:bookmarkEnd w:id="21"/>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2" w:name="_Toc13563881"/>
      <w:bookmarkStart w:id="23"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2"/>
      <w:bookmarkEnd w:id="23"/>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4" w:name="_Toc13563882"/>
      <w:bookmarkStart w:id="25"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4"/>
      <w:bookmarkEnd w:id="25"/>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6" w:name="_Toc11764042"/>
      <w:bookmarkStart w:id="27" w:name="_Toc482266104"/>
      <w:bookmarkStart w:id="28" w:name="_Toc13563883"/>
      <w:bookmarkStart w:id="29" w:name="_Toc443397367"/>
      <w:bookmarkStart w:id="30"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6"/>
      <w:bookmarkEnd w:id="27"/>
      <w:bookmarkEnd w:id="28"/>
      <w:bookmarkEnd w:id="29"/>
      <w:bookmarkEnd w:id="30"/>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B7DD35-DC0A-4A0D-BC48-19BE5AF3E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0AD1659-3EED-4E51-83C0-612036058F15}"/>
  </w:font>
  <w:font w:name="仿宋">
    <w:panose1 w:val="02010609060101010101"/>
    <w:charset w:val="86"/>
    <w:family w:val="modern"/>
    <w:pitch w:val="default"/>
    <w:sig w:usb0="800002BF" w:usb1="38CF7CFA" w:usb2="00000016" w:usb3="00000000" w:csb0="00040001" w:csb1="00000000"/>
    <w:embedRegular r:id="rId3" w:fontKey="{E143B896-A6F5-4CD4-8A4D-74DCB4B15D54}"/>
  </w:font>
  <w:font w:name="方正仿宋_GB2312">
    <w:panose1 w:val="02000000000000000000"/>
    <w:charset w:val="86"/>
    <w:family w:val="auto"/>
    <w:pitch w:val="default"/>
    <w:sig w:usb0="A00002BF" w:usb1="184F6CFA" w:usb2="00000012" w:usb3="00000000" w:csb0="00040001" w:csb1="00000000"/>
    <w:embedRegular r:id="rId4" w:fontKey="{54E83C05-1FC3-4046-8866-EA566861548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76A5D"/>
    <w:multiLevelType w:val="multilevel"/>
    <w:tmpl w:val="39176A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2E5301F6"/>
    <w:rsid w:val="31132938"/>
    <w:rsid w:val="35DA6DC7"/>
    <w:rsid w:val="368F3A91"/>
    <w:rsid w:val="37190085"/>
    <w:rsid w:val="383A0E52"/>
    <w:rsid w:val="3ADA27B6"/>
    <w:rsid w:val="3C0C3F58"/>
    <w:rsid w:val="3C9D34DC"/>
    <w:rsid w:val="3D47633A"/>
    <w:rsid w:val="3E960A3C"/>
    <w:rsid w:val="3EA85573"/>
    <w:rsid w:val="40985C39"/>
    <w:rsid w:val="41657E7F"/>
    <w:rsid w:val="41D717BB"/>
    <w:rsid w:val="43375539"/>
    <w:rsid w:val="43B403C4"/>
    <w:rsid w:val="45D16192"/>
    <w:rsid w:val="490E1F0B"/>
    <w:rsid w:val="4AEF193A"/>
    <w:rsid w:val="4B167DB3"/>
    <w:rsid w:val="4B87553A"/>
    <w:rsid w:val="4E9C2CD7"/>
    <w:rsid w:val="4EDD2299"/>
    <w:rsid w:val="4F9D48D9"/>
    <w:rsid w:val="525939B7"/>
    <w:rsid w:val="5AC368AC"/>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4720</Words>
  <Characters>4819</Characters>
  <Lines>45</Lines>
  <Paragraphs>12</Paragraphs>
  <TotalTime>0</TotalTime>
  <ScaleCrop>false</ScaleCrop>
  <LinksUpToDate>false</LinksUpToDate>
  <CharactersWithSpaces>5853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2024-09-06T01:51:45Z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7624AA398FCA48B29EDE13EC3913FCAA_12</vt:lpwstr>
  </property>
</Properties>
</file>