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numPr>
          <w:numId w:val="0"/>
        </w:numPr>
        <w:ind w:firstLine="1325" w:firstLineChars="300"/>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通风系统  </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6E0FA166">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9</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4EDE696A">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1980" w:firstLineChars="900"/>
              <w:rPr>
                <w:rFonts w:hint="eastAsia" w:ascii="仿宋" w:hAnsi="仿宋" w:eastAsia="仿宋" w:cs="仿宋"/>
                <w:sz w:val="22"/>
              </w:rPr>
            </w:pPr>
            <w:r>
              <w:rPr>
                <w:rFonts w:hint="eastAsia" w:ascii="仿宋" w:hAnsi="仿宋" w:eastAsia="仿宋" w:cs="仿宋"/>
                <w:sz w:val="22"/>
              </w:rPr>
              <w:t>通风系统</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w:t>
            </w:r>
            <w:r>
              <w:rPr>
                <w:rFonts w:hint="eastAsia" w:ascii="仿宋" w:hAnsi="仿宋" w:eastAsia="仿宋" w:cs="仿宋"/>
                <w:sz w:val="22"/>
                <w:lang w:val="en-US" w:eastAsia="zh-CN"/>
              </w:rPr>
              <w:t>318号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29.5万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5431"/>
      <w:bookmarkStart w:id="3" w:name="_Toc19400"/>
      <w:bookmarkStart w:id="4" w:name="_Toc2805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12668"/>
      <w:bookmarkStart w:id="6" w:name="_Toc12193"/>
      <w:bookmarkStart w:id="7" w:name="_Toc3988"/>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02F3F3DB">
      <w:pPr>
        <w:numPr>
          <w:numId w:val="0"/>
        </w:numPr>
        <w:spacing w:after="317" w:afterLines="100"/>
        <w:ind w:leftChars="0" w:firstLine="480" w:firstLineChars="200"/>
        <w:outlineLvl w:val="1"/>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病理科实验室排风系统老化，环境污染严重，拟购买1套通风系统。科室需求通风系统包含重新安装新风、排风系统、通风管道、室外风冷模块、甲醛感应器、二甲苯感应器等。</w:t>
      </w:r>
      <w:r>
        <w:rPr>
          <w:rFonts w:hint="eastAsia"/>
          <w:kern w:val="0"/>
          <w:sz w:val="24"/>
          <w:szCs w:val="24"/>
          <w:lang w:val="en-US" w:eastAsia="zh-CN"/>
        </w:rPr>
        <w:t>二、</w:t>
      </w:r>
      <w:r>
        <w:rPr>
          <w:rFonts w:hint="eastAsia" w:ascii="仿宋" w:hAnsi="仿宋" w:eastAsia="仿宋" w:cs="仿宋"/>
          <w:b/>
          <w:bCs/>
          <w:sz w:val="24"/>
          <w:szCs w:val="24"/>
        </w:rPr>
        <w:t>技术、服务要求</w:t>
      </w:r>
    </w:p>
    <w:tbl>
      <w:tblPr>
        <w:tblStyle w:val="17"/>
        <w:tblW w:w="9597" w:type="dxa"/>
        <w:tblInd w:w="96" w:type="dxa"/>
        <w:tblLayout w:type="autofit"/>
        <w:tblCellMar>
          <w:top w:w="0" w:type="dxa"/>
          <w:left w:w="108" w:type="dxa"/>
          <w:bottom w:w="0" w:type="dxa"/>
          <w:right w:w="108" w:type="dxa"/>
        </w:tblCellMar>
      </w:tblPr>
      <w:tblGrid>
        <w:gridCol w:w="974"/>
        <w:gridCol w:w="2186"/>
        <w:gridCol w:w="3590"/>
        <w:gridCol w:w="1502"/>
        <w:gridCol w:w="1345"/>
      </w:tblGrid>
      <w:tr w14:paraId="3F57E6A7">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106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序号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0912">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产品名称</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A543">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参数规格</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829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单位</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C49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数量</w:t>
            </w:r>
          </w:p>
        </w:tc>
      </w:tr>
      <w:tr w14:paraId="5088CE83">
        <w:tblPrEx>
          <w:tblCellMar>
            <w:top w:w="0" w:type="dxa"/>
            <w:left w:w="108" w:type="dxa"/>
            <w:bottom w:w="0" w:type="dxa"/>
            <w:right w:w="108" w:type="dxa"/>
          </w:tblCellMar>
        </w:tblPrEx>
        <w:trPr>
          <w:trHeight w:val="292" w:hRule="atLeast"/>
        </w:trPr>
        <w:tc>
          <w:tcPr>
            <w:tcW w:w="6750" w:type="dxa"/>
            <w:gridSpan w:val="3"/>
            <w:tcBorders>
              <w:top w:val="single" w:color="000000" w:sz="4" w:space="0"/>
              <w:left w:val="single" w:color="000000" w:sz="4" w:space="0"/>
              <w:bottom w:val="single" w:color="000000" w:sz="4" w:space="0"/>
              <w:right w:val="nil"/>
            </w:tcBorders>
            <w:shd w:val="clear" w:color="auto" w:fill="auto"/>
            <w:vAlign w:val="center"/>
          </w:tcPr>
          <w:p w14:paraId="5A3D6D6B">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一、排风系统</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19AD">
            <w:pPr>
              <w:jc w:val="center"/>
              <w:rPr>
                <w:rFonts w:hint="eastAsia" w:ascii="仿宋" w:hAnsi="仿宋" w:eastAsia="仿宋" w:cs="仿宋"/>
                <w:b w:val="0"/>
                <w:bCs w:val="0"/>
                <w:kern w:val="2"/>
                <w:sz w:val="24"/>
                <w:szCs w:val="24"/>
                <w:lang w:val="en-US" w:eastAsia="zh-CN" w:bidi="ar-SA"/>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476B">
            <w:pPr>
              <w:jc w:val="center"/>
              <w:rPr>
                <w:rFonts w:hint="eastAsia" w:ascii="仿宋" w:hAnsi="仿宋" w:eastAsia="仿宋" w:cs="仿宋"/>
                <w:b w:val="0"/>
                <w:bCs w:val="0"/>
                <w:kern w:val="2"/>
                <w:sz w:val="24"/>
                <w:szCs w:val="24"/>
                <w:lang w:val="en-US" w:eastAsia="zh-CN" w:bidi="ar-SA"/>
              </w:rPr>
            </w:pPr>
          </w:p>
        </w:tc>
      </w:tr>
      <w:tr w14:paraId="7BA8D8B6">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5F9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C603">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PP风管</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1EA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 0.75mm厚</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E1B4">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5589">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13 </w:t>
            </w:r>
          </w:p>
        </w:tc>
      </w:tr>
      <w:tr w14:paraId="48184357">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8D5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941D">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PP90°弯头</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39BD">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22B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D0DC">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03E62364">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F2D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62F5">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PP风管</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C5D0">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630*320 8mm厚</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D05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6E9C">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11 </w:t>
            </w:r>
          </w:p>
        </w:tc>
      </w:tr>
      <w:tr w14:paraId="109E4166">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90D8">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84B">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PP90°弯头</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EB04">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630*320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36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5460">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6666551C">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12E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2A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PP风管</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2AF0">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800*320 8mm厚</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FDA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BF7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26 </w:t>
            </w:r>
          </w:p>
        </w:tc>
      </w:tr>
      <w:tr w14:paraId="2F333AE9">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EDB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BAFC">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PP90°弯头</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EEE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BDA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730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5 </w:t>
            </w:r>
          </w:p>
        </w:tc>
      </w:tr>
      <w:tr w14:paraId="60052F1E">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C5A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B4B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PP三通</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6F9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800*320—400*320—630*320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217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712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297020EA">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FB2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B4BE">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PP三通</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B9BC">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630*320—400*320—320*250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3B7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F5A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52693568">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137F">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2AC2">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PP变径</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FA8E">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630*320—400*320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423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CCD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739643C1">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3443">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205A">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PP变径</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7E65">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830*320—630*320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E075">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54F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5D21D301">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C20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48A0">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PP风管</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1513">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Φ200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C1D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985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6 </w:t>
            </w:r>
          </w:p>
        </w:tc>
      </w:tr>
      <w:tr w14:paraId="722C0A23">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73E0">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9C59">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PP风管</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5A20">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Φ250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B23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B2B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4 </w:t>
            </w:r>
          </w:p>
        </w:tc>
      </w:tr>
      <w:tr w14:paraId="031E015E">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F4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6C9B">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PP手动风阀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B81F">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630*320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FF8C">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AFD8">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78C773B6">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078A">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730A">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PP手动风阀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84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BB55">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1688">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 </w:t>
            </w:r>
          </w:p>
        </w:tc>
      </w:tr>
      <w:tr w14:paraId="113B7849">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896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9E5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PP手动风阀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A452">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320*250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65E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040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1A6F3D86">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E3E5">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306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PP手动风阀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FDF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Φ200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2DD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AB4A">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6 </w:t>
            </w:r>
          </w:p>
        </w:tc>
      </w:tr>
      <w:tr w14:paraId="7346939D">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25C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7F3">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PP电动电动风阀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9487">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Φ250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79E8">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30F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6EF99F68">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0E0F">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1803">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70℃防火阀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50DA">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A55">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8DC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6F84F27A">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2D4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0404">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PP消音器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412F">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640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件</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04D8">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3738E894">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804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EE7A">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PP活性炭吸附箱</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942C">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流量10000m³/h</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468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套</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B8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78322A7F">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495A">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488B">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风帽</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E237">
            <w:pPr>
              <w:jc w:val="left"/>
              <w:rPr>
                <w:rFonts w:hint="eastAsia" w:ascii="仿宋" w:hAnsi="仿宋" w:eastAsia="仿宋" w:cs="仿宋"/>
                <w:b w:val="0"/>
                <w:bCs w:val="0"/>
                <w:kern w:val="2"/>
                <w:sz w:val="24"/>
                <w:szCs w:val="24"/>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BB99">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FBF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00E6F381">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357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F069">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软连接</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AAF4">
            <w:pPr>
              <w:jc w:val="left"/>
              <w:rPr>
                <w:rFonts w:hint="eastAsia" w:ascii="仿宋" w:hAnsi="仿宋" w:eastAsia="仿宋" w:cs="仿宋"/>
                <w:b w:val="0"/>
                <w:bCs w:val="0"/>
                <w:kern w:val="2"/>
                <w:sz w:val="24"/>
                <w:szCs w:val="24"/>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47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01A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310B79FD">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FAAC">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752B">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减震器</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A345">
            <w:pPr>
              <w:jc w:val="left"/>
              <w:rPr>
                <w:rFonts w:hint="eastAsia" w:ascii="仿宋" w:hAnsi="仿宋" w:eastAsia="仿宋" w:cs="仿宋"/>
                <w:b w:val="0"/>
                <w:bCs w:val="0"/>
                <w:kern w:val="2"/>
                <w:sz w:val="24"/>
                <w:szCs w:val="24"/>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EFD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0F59">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6 </w:t>
            </w:r>
          </w:p>
        </w:tc>
      </w:tr>
      <w:tr w14:paraId="08578F4C">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033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61E5">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辅材</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AED">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横担、丝杆等</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CC1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FDE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4C18C389">
        <w:tblPrEx>
          <w:tblCellMar>
            <w:top w:w="0" w:type="dxa"/>
            <w:left w:w="108" w:type="dxa"/>
            <w:bottom w:w="0" w:type="dxa"/>
            <w:right w:w="108" w:type="dxa"/>
          </w:tblCellMar>
        </w:tblPrEx>
        <w:trPr>
          <w:trHeight w:val="575"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199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3CD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玻璃钢变频离心风机</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47F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7.5KW，流量13000-25000m³/h，全压1500-1100pa</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A7F9">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台</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452A">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02A77C41">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040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A2F8">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设备基础</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50F0">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砖砌基础，表面砂灰收光</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E08A">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B0F">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4C67D1F9">
        <w:tblPrEx>
          <w:tblCellMar>
            <w:top w:w="0" w:type="dxa"/>
            <w:left w:w="108" w:type="dxa"/>
            <w:bottom w:w="0" w:type="dxa"/>
            <w:right w:w="108" w:type="dxa"/>
          </w:tblCellMar>
        </w:tblPrEx>
        <w:trPr>
          <w:trHeight w:val="292" w:hRule="atLeast"/>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9C9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0A6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设备电源</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9438">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5*4YJV电缆，配相应桥架线管</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CF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E37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30 </w:t>
            </w:r>
          </w:p>
        </w:tc>
      </w:tr>
      <w:tr w14:paraId="10F32E29">
        <w:tblPrEx>
          <w:tblCellMar>
            <w:top w:w="0" w:type="dxa"/>
            <w:left w:w="108" w:type="dxa"/>
            <w:bottom w:w="0" w:type="dxa"/>
            <w:right w:w="108" w:type="dxa"/>
          </w:tblCellMar>
        </w:tblPrEx>
        <w:trPr>
          <w:trHeight w:val="292" w:hRule="atLeast"/>
        </w:trPr>
        <w:tc>
          <w:tcPr>
            <w:tcW w:w="6750" w:type="dxa"/>
            <w:gridSpan w:val="3"/>
            <w:tcBorders>
              <w:top w:val="single" w:color="000000" w:sz="4" w:space="0"/>
              <w:left w:val="single" w:color="000000" w:sz="4" w:space="0"/>
              <w:bottom w:val="single" w:color="000000" w:sz="4" w:space="0"/>
              <w:right w:val="nil"/>
            </w:tcBorders>
            <w:shd w:val="clear" w:color="auto" w:fill="auto"/>
            <w:vAlign w:val="center"/>
          </w:tcPr>
          <w:p w14:paraId="0DE7D9B8">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二、新风系统</w:t>
            </w:r>
          </w:p>
        </w:tc>
        <w:tc>
          <w:tcPr>
            <w:tcW w:w="1502" w:type="dxa"/>
            <w:tcBorders>
              <w:top w:val="single" w:color="000000" w:sz="4" w:space="0"/>
              <w:left w:val="nil"/>
              <w:bottom w:val="single" w:color="000000" w:sz="4" w:space="0"/>
              <w:right w:val="nil"/>
            </w:tcBorders>
            <w:shd w:val="clear" w:color="auto" w:fill="auto"/>
            <w:vAlign w:val="center"/>
          </w:tcPr>
          <w:p w14:paraId="5DE17F42">
            <w:pPr>
              <w:jc w:val="center"/>
              <w:rPr>
                <w:rFonts w:hint="eastAsia" w:ascii="仿宋" w:hAnsi="仿宋" w:eastAsia="仿宋" w:cs="仿宋"/>
                <w:b w:val="0"/>
                <w:bCs w:val="0"/>
                <w:kern w:val="2"/>
                <w:sz w:val="24"/>
                <w:szCs w:val="24"/>
                <w:lang w:val="en-US" w:eastAsia="zh-CN" w:bidi="ar-SA"/>
              </w:rPr>
            </w:pPr>
          </w:p>
        </w:tc>
        <w:tc>
          <w:tcPr>
            <w:tcW w:w="1345" w:type="dxa"/>
            <w:tcBorders>
              <w:top w:val="single" w:color="000000" w:sz="4" w:space="0"/>
              <w:left w:val="nil"/>
              <w:bottom w:val="single" w:color="000000" w:sz="4" w:space="0"/>
              <w:right w:val="nil"/>
            </w:tcBorders>
            <w:shd w:val="clear" w:color="auto" w:fill="auto"/>
            <w:vAlign w:val="center"/>
          </w:tcPr>
          <w:p w14:paraId="2CAC4417">
            <w:pPr>
              <w:jc w:val="center"/>
              <w:rPr>
                <w:rFonts w:hint="eastAsia" w:ascii="仿宋" w:hAnsi="仿宋" w:eastAsia="仿宋" w:cs="仿宋"/>
                <w:b w:val="0"/>
                <w:bCs w:val="0"/>
                <w:kern w:val="2"/>
                <w:sz w:val="24"/>
                <w:szCs w:val="24"/>
                <w:lang w:val="en-US" w:eastAsia="zh-CN" w:bidi="ar-SA"/>
              </w:rPr>
            </w:pPr>
          </w:p>
        </w:tc>
      </w:tr>
      <w:tr w14:paraId="3417102C">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F7A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C664">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镀锌铁皮管道</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109D">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 0.75mm厚</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53A9">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DEB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25 </w:t>
            </w:r>
          </w:p>
        </w:tc>
      </w:tr>
      <w:tr w14:paraId="58564302">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A09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9C6B">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镀锌铁皮管道</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A65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320*250 0.75mm厚</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F0F4">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770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21 </w:t>
            </w:r>
          </w:p>
        </w:tc>
      </w:tr>
      <w:tr w14:paraId="2F164875">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16C9">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77F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镀锌铁皮三通</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764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400*320-400*320-320*250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395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AA6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 </w:t>
            </w:r>
          </w:p>
        </w:tc>
      </w:tr>
      <w:tr w14:paraId="38C0D3AE">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9918">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6953">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镀锌铁皮正三通</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B202">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7920">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8A5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1F78C2AE">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715C">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B84F">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镀锌铁皮弯头</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8F4D">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1FC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9BAC">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4 </w:t>
            </w:r>
          </w:p>
        </w:tc>
      </w:tr>
      <w:tr w14:paraId="52059366">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542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E2DE">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70℃防火阀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23C8">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4D0">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9519">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4E77E15D">
        <w:tblPrEx>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E63C">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1DA2">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镀锌铁皮手动风阀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A93A">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DF4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AE4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 </w:t>
            </w:r>
          </w:p>
        </w:tc>
      </w:tr>
      <w:tr w14:paraId="45BEEF23">
        <w:tblPrEx>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91D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CEF5">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镀锌铁皮手动风阀</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7332">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320*250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C97F">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BD08">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5 </w:t>
            </w:r>
          </w:p>
        </w:tc>
      </w:tr>
      <w:tr w14:paraId="3A7B6232">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96E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4489">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镀锌铁皮消音器</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0AB5">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400*320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E60A">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件</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313C">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51CEC2AD">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CF84">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87DA">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双层百叶风口</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7420">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250*250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EBC4">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656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6 </w:t>
            </w:r>
          </w:p>
        </w:tc>
      </w:tr>
      <w:tr w14:paraId="662E0446">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4A1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0A29">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风管保温</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DB48">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橡塑保温20mm</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831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平方</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2D0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82 </w:t>
            </w:r>
          </w:p>
        </w:tc>
      </w:tr>
      <w:tr w14:paraId="43FAC533">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A69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E15F">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软连接</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5181">
            <w:pPr>
              <w:jc w:val="left"/>
              <w:rPr>
                <w:rFonts w:hint="eastAsia" w:ascii="仿宋" w:hAnsi="仿宋" w:eastAsia="仿宋" w:cs="仿宋"/>
                <w:b w:val="0"/>
                <w:bCs w:val="0"/>
                <w:kern w:val="2"/>
                <w:sz w:val="24"/>
                <w:szCs w:val="24"/>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C90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A86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52EAE3AC">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5C6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13</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9FAF">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铜管</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97F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2*Φ16/2*Φ10</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C3D3">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666A">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30 </w:t>
            </w:r>
          </w:p>
        </w:tc>
      </w:tr>
      <w:tr w14:paraId="3CAE5CFA">
        <w:tblPrEx>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908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14</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880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铜管保温</w:t>
            </w:r>
          </w:p>
        </w:tc>
        <w:tc>
          <w:tcPr>
            <w:tcW w:w="3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7531">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橡塑保温15mm</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0E01">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BF67">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120 </w:t>
            </w:r>
          </w:p>
        </w:tc>
      </w:tr>
      <w:tr w14:paraId="50388200">
        <w:tblPrEx>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E5E4">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15</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5D4C">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模块式空调机组</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4897">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制冷量2OKW/制热量21KW，内机机房吊装，外机屋面落地</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1D53">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0559">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7E287670">
        <w:tblPrEx>
          <w:tblCellMar>
            <w:top w:w="0" w:type="dxa"/>
            <w:left w:w="108" w:type="dxa"/>
            <w:bottom w:w="0" w:type="dxa"/>
            <w:right w:w="108" w:type="dxa"/>
          </w:tblCellMar>
        </w:tblPrEx>
        <w:trPr>
          <w:trHeight w:val="292" w:hRule="atLeast"/>
        </w:trPr>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EDA2">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三、控制系统</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0CA9">
            <w:pPr>
              <w:jc w:val="center"/>
              <w:rPr>
                <w:rFonts w:hint="eastAsia" w:ascii="仿宋" w:hAnsi="仿宋" w:eastAsia="仿宋" w:cs="仿宋"/>
                <w:b w:val="0"/>
                <w:bCs w:val="0"/>
                <w:kern w:val="2"/>
                <w:sz w:val="24"/>
                <w:szCs w:val="24"/>
                <w:lang w:val="en-US" w:eastAsia="zh-CN" w:bidi="ar-SA"/>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6CC5">
            <w:pPr>
              <w:jc w:val="center"/>
              <w:rPr>
                <w:rFonts w:hint="eastAsia" w:ascii="仿宋" w:hAnsi="仿宋" w:eastAsia="仿宋" w:cs="仿宋"/>
                <w:b w:val="0"/>
                <w:bCs w:val="0"/>
                <w:kern w:val="2"/>
                <w:sz w:val="24"/>
                <w:szCs w:val="24"/>
                <w:lang w:val="en-US" w:eastAsia="zh-CN" w:bidi="ar-SA"/>
              </w:rPr>
            </w:pPr>
          </w:p>
        </w:tc>
      </w:tr>
      <w:tr w14:paraId="000336FE">
        <w:tblPrEx>
          <w:tblCellMar>
            <w:top w:w="0" w:type="dxa"/>
            <w:left w:w="108" w:type="dxa"/>
            <w:bottom w:w="0" w:type="dxa"/>
            <w:right w:w="108" w:type="dxa"/>
          </w:tblCellMar>
        </w:tblPrEx>
        <w:trPr>
          <w:trHeight w:val="70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781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BF6B">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中央控制塔</w:t>
            </w:r>
          </w:p>
        </w:tc>
        <w:tc>
          <w:tcPr>
            <w:tcW w:w="3590" w:type="dxa"/>
            <w:tcBorders>
              <w:top w:val="single" w:color="000000" w:sz="4" w:space="0"/>
              <w:left w:val="single" w:color="000000" w:sz="4" w:space="0"/>
              <w:bottom w:val="single" w:color="000000" w:sz="4" w:space="0"/>
              <w:right w:val="single" w:color="000000" w:sz="4" w:space="0"/>
            </w:tcBorders>
            <w:shd w:val="clear" w:color="auto" w:fill="auto"/>
          </w:tcPr>
          <w:p w14:paraId="6E1EB16F">
            <w:pPr>
              <w:widowControl/>
              <w:numPr>
                <w:ilvl w:val="0"/>
                <w:numId w:val="16"/>
              </w:numPr>
              <w:jc w:val="left"/>
              <w:textAlignment w:val="top"/>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中央集成控制装置，含中控器、电气控制系统、触控式人机界面；数字化和图形化两种模式显示区域空气质量数据，根据空气质量和臭氧数据，自动计算并调节粒子发射强度,调节范围0~100%。包括积算功率驱动与脉冲转换器。</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2.报警状态单独接口模块、触控式人机界面；设备位置及管路空气动静态实时跟踪，系统自动启停，数字化和图形化两种模式显示区域空气质量数据，根据实验室监测到的污染气体浓度，自动分析空气质量和相关数据，（所有实验室环境监控系统所需要配件设施等对接，包含不限于信号线、桥架、网线等施工安装及调试）组态软件、工业交换机、组态编程费、触摸屏编程费,实验室环境空间及专业应用数据综合管理,含用户管理界面配置工具集,可实现全局、区域、设备无缝对接可视化管理。</w:t>
            </w:r>
          </w:p>
          <w:p w14:paraId="0037CBEC">
            <w:pPr>
              <w:widowControl/>
              <w:jc w:val="left"/>
              <w:textAlignment w:val="top"/>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2.集成管理多源报警数据。</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3.配置气体采集器,动态采集室内空气样本,输送至传感器。</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5E5B">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套</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CA92">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0C6B187A">
        <w:tblPrEx>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346D">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8C25">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控制柜电源</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82E">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4*16+10YJV电缆，配相应桥架线管</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EE54">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米</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A884">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30 </w:t>
            </w:r>
          </w:p>
        </w:tc>
      </w:tr>
      <w:tr w14:paraId="13FF26C8">
        <w:tblPrEx>
          <w:tblCellMar>
            <w:top w:w="0" w:type="dxa"/>
            <w:left w:w="108" w:type="dxa"/>
            <w:bottom w:w="0" w:type="dxa"/>
            <w:right w:w="108" w:type="dxa"/>
          </w:tblCellMar>
        </w:tblPrEx>
        <w:trPr>
          <w:trHeight w:val="35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7B2F">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FA14">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在线式甲醛检测仪</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8A36">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1.检测气体：甲醛 CH2O；检测原理：电化学原理。</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 xml:space="preserve">2.安装方式：壁挂式、管道式(螺纹尺寸:M45*1.5mm)、流通式、泵吸式，用户可选。 </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 xml:space="preserve">信号输出：用户可根据实际要求而定，最远可传输 1000 米（单芯 1mm²以上屏蔽电缆）。 </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4. 可连接各种报警控制器、PLC、DCS 等各种控制系统。</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5.外壳材质：防爆耐腐蚀、坚固耐用。（所有实验室环境监控系统所需要配件设施等对接，包含不限于信号线、桥架、网线等施工安装及调试）</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8584">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DF5F">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 </w:t>
            </w:r>
          </w:p>
        </w:tc>
      </w:tr>
      <w:tr w14:paraId="0B9165C3">
        <w:tblPrEx>
          <w:tblCellMar>
            <w:top w:w="0" w:type="dxa"/>
            <w:left w:w="108" w:type="dxa"/>
            <w:bottom w:w="0" w:type="dxa"/>
            <w:right w:w="108" w:type="dxa"/>
          </w:tblCellMar>
        </w:tblPrEx>
        <w:trPr>
          <w:trHeight w:val="35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612E">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91EE">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在线式二甲苯检测仪</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911B">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1.检测气体：二甲苯 C8H10 ，检测原理：电化学原理。</w:t>
            </w:r>
          </w:p>
          <w:p w14:paraId="5C15BBAC">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2.安装方式：壁挂式、管道式(螺纹尺寸:M45*1.5mm)、流通式、泵吸式，用户可选。 </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 xml:space="preserve">信号输出：用户可根据实际要求而定，最远可传输 1000 米（单芯 1mm²以上屏蔽电缆）。 </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4. 可连接各种报警控制器、PLC、DCS 等各种控制系统。</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5.外壳材质：防爆耐腐蚀、坚固耐用。（所有实验室环境监控系统所需要配件设施等对接，包含不限于信号线、桥架、网线等施工安装及调试）</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ABD3">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个</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4AD6">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r w14:paraId="4645EAC3">
        <w:tblPrEx>
          <w:tblCellMar>
            <w:top w:w="0" w:type="dxa"/>
            <w:left w:w="108" w:type="dxa"/>
            <w:bottom w:w="0" w:type="dxa"/>
            <w:right w:w="108" w:type="dxa"/>
          </w:tblCellMar>
        </w:tblPrEx>
        <w:trPr>
          <w:trHeight w:val="3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EAB5">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A53D">
            <w:pPr>
              <w:widowControl/>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信号线</w:t>
            </w:r>
          </w:p>
        </w:tc>
        <w:tc>
          <w:tcPr>
            <w:tcW w:w="3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EFCC">
            <w:pPr>
              <w:jc w:val="left"/>
              <w:rPr>
                <w:rFonts w:hint="eastAsia" w:ascii="仿宋" w:hAnsi="仿宋" w:eastAsia="仿宋" w:cs="仿宋"/>
                <w:b w:val="0"/>
                <w:bCs w:val="0"/>
                <w:kern w:val="2"/>
                <w:sz w:val="24"/>
                <w:szCs w:val="24"/>
                <w:lang w:val="en-US" w:eastAsia="zh-CN" w:bidi="ar-SA"/>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7735">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项</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2B5F">
            <w:pPr>
              <w:widowControl/>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 xml:space="preserve">1 </w:t>
            </w:r>
          </w:p>
        </w:tc>
      </w:tr>
    </w:tbl>
    <w:p w14:paraId="712E6485">
      <w:pPr>
        <w:numPr>
          <w:ilvl w:val="0"/>
          <w:numId w:val="0"/>
        </w:numPr>
        <w:spacing w:after="317" w:afterLines="100"/>
        <w:ind w:leftChars="0"/>
        <w:outlineLvl w:val="1"/>
        <w:rPr>
          <w:rFonts w:hint="eastAsia" w:ascii="仿宋" w:hAnsi="仿宋" w:eastAsia="仿宋" w:cs="仿宋"/>
          <w:color w:val="auto"/>
          <w:kern w:val="2"/>
          <w:sz w:val="24"/>
          <w:szCs w:val="24"/>
          <w:lang w:val="en-US" w:eastAsia="zh-CN" w:bidi="ar-SA"/>
        </w:rPr>
      </w:pPr>
    </w:p>
    <w:p w14:paraId="444B148D">
      <w:pPr>
        <w:numPr>
          <w:ilvl w:val="0"/>
          <w:numId w:val="15"/>
        </w:numPr>
        <w:spacing w:after="317" w:afterLines="100"/>
        <w:ind w:left="0" w:leftChars="0" w:firstLine="0" w:firstLineChars="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br w:type="page"/>
      </w:r>
    </w:p>
    <w:p w14:paraId="2771D8DC">
      <w:pPr>
        <w:pStyle w:val="2"/>
        <w:numPr>
          <w:ilvl w:val="0"/>
          <w:numId w:val="0"/>
        </w:numPr>
        <w:ind w:left="402"/>
      </w:pPr>
      <w:bookmarkStart w:id="8" w:name="_Toc16344"/>
      <w:bookmarkStart w:id="9" w:name="_Toc22827"/>
      <w:bookmarkStart w:id="10" w:name="_Toc3094"/>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5913"/>
      <w:bookmarkStart w:id="12" w:name="_Toc29819"/>
      <w:bookmarkStart w:id="13" w:name="_Toc4960"/>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19851"/>
      <w:bookmarkStart w:id="15" w:name="_Toc30609"/>
      <w:bookmarkStart w:id="16" w:name="_Toc9428"/>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9041"/>
      <w:bookmarkStart w:id="18" w:name="_Toc1544"/>
      <w:bookmarkStart w:id="19" w:name="_Toc32352"/>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bookmarkStart w:id="78" w:name="_GoBack"/>
      <w:bookmarkEnd w:id="78"/>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17163"/>
      <w:bookmarkStart w:id="23" w:name="_Toc1690"/>
      <w:bookmarkStart w:id="24" w:name="_Toc32749"/>
      <w:bookmarkStart w:id="25" w:name="_Toc24859"/>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3558"/>
      <w:bookmarkStart w:id="27" w:name="_Toc17905"/>
      <w:bookmarkStart w:id="28" w:name="_Toc6803"/>
      <w:bookmarkStart w:id="29" w:name="_Toc24123"/>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27135"/>
      <w:bookmarkStart w:id="31" w:name="_Toc2989"/>
      <w:bookmarkStart w:id="32" w:name="_Toc5996"/>
      <w:bookmarkStart w:id="33" w:name="_Toc27526"/>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19987"/>
      <w:bookmarkStart w:id="35" w:name="_Toc5056"/>
      <w:bookmarkStart w:id="36" w:name="_Toc2031"/>
      <w:bookmarkStart w:id="37" w:name="_Toc7233"/>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11352"/>
      <w:bookmarkStart w:id="39" w:name="_Toc6482"/>
      <w:bookmarkStart w:id="40" w:name="_Toc16029"/>
      <w:bookmarkStart w:id="41" w:name="_Toc21519"/>
      <w:bookmarkStart w:id="42" w:name="_Toc3023"/>
      <w:bookmarkStart w:id="43" w:name="_Toc14829"/>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4305"/>
      <w:bookmarkStart w:id="45" w:name="_Toc22676"/>
      <w:bookmarkStart w:id="46" w:name="_Toc30971"/>
      <w:bookmarkStart w:id="47" w:name="_Toc17857"/>
      <w:bookmarkStart w:id="48" w:name="_Toc31838"/>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15613"/>
      <w:bookmarkStart w:id="50" w:name="_Toc27186"/>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706"/>
      <w:bookmarkStart w:id="53" w:name="_Toc13904"/>
      <w:bookmarkStart w:id="54" w:name="_Toc25357"/>
    </w:p>
    <w:p w14:paraId="17F9D632">
      <w:pPr>
        <w:pStyle w:val="3"/>
        <w:ind w:firstLine="0"/>
      </w:pPr>
      <w:bookmarkStart w:id="55" w:name="_Toc15508"/>
      <w:bookmarkStart w:id="56" w:name="_Toc23146"/>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5638"/>
      <w:bookmarkStart w:id="58" w:name="_Toc15526"/>
      <w:bookmarkStart w:id="59" w:name="_Toc20589"/>
      <w:bookmarkStart w:id="60" w:name="_Toc11351"/>
      <w:bookmarkStart w:id="61" w:name="_Toc27661"/>
      <w:bookmarkStart w:id="62" w:name="_Toc12015"/>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074"/>
      <w:bookmarkStart w:id="64" w:name="_Toc12967"/>
      <w:bookmarkStart w:id="65" w:name="_Toc23967"/>
      <w:bookmarkStart w:id="66" w:name="_Toc2041"/>
      <w:bookmarkStart w:id="67" w:name="_Toc16435"/>
      <w:bookmarkStart w:id="68" w:name="_Toc26969"/>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24494"/>
      <w:bookmarkStart w:id="70" w:name="_Toc3871"/>
      <w:bookmarkStart w:id="71" w:name="_Toc32605"/>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30002"/>
      <w:bookmarkStart w:id="74" w:name="_Toc29032"/>
      <w:bookmarkStart w:id="75"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5447"/>
      <w:bookmarkStart w:id="77" w:name="_Toc20691"/>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8B67996-15DC-44FA-8D7B-928259DB493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203889D-DC9D-459D-AF3A-74EA89B73C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B83419FA-A521-4B99-96D7-6B2262315CAD}"/>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576EB2A3-916C-414E-9F24-1BAB094B4E9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à.ā">
    <w:altName w:val="宋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D7524F98"/>
    <w:multiLevelType w:val="singleLevel"/>
    <w:tmpl w:val="D7524F98"/>
    <w:lvl w:ilvl="0" w:tentative="0">
      <w:start w:val="1"/>
      <w:numFmt w:val="decimal"/>
      <w:lvlText w:val="%1."/>
      <w:lvlJc w:val="left"/>
      <w:pPr>
        <w:tabs>
          <w:tab w:val="left" w:pos="312"/>
        </w:tabs>
      </w:pPr>
    </w:lvl>
  </w:abstractNum>
  <w:abstractNum w:abstractNumId="5">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6">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7">
    <w:nsid w:val="FCA5E3A8"/>
    <w:multiLevelType w:val="singleLevel"/>
    <w:tmpl w:val="FCA5E3A8"/>
    <w:lvl w:ilvl="0" w:tentative="0">
      <w:start w:val="1"/>
      <w:numFmt w:val="decimal"/>
      <w:suff w:val="nothing"/>
      <w:lvlText w:val="（%1）"/>
      <w:lvlJc w:val="left"/>
      <w:pPr>
        <w:ind w:left="-21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4335F72B"/>
    <w:multiLevelType w:val="singleLevel"/>
    <w:tmpl w:val="4335F72B"/>
    <w:lvl w:ilvl="0" w:tentative="0">
      <w:start w:val="1"/>
      <w:numFmt w:val="chineseCounting"/>
      <w:suff w:val="nothing"/>
      <w:lvlText w:val="%1、"/>
      <w:lvlJc w:val="left"/>
      <w:rPr>
        <w:rFonts w:hint="eastAsia"/>
      </w:r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6"/>
  </w:num>
  <w:num w:numId="3">
    <w:abstractNumId w:val="11"/>
  </w:num>
  <w:num w:numId="4">
    <w:abstractNumId w:val="15"/>
  </w:num>
  <w:num w:numId="5">
    <w:abstractNumId w:val="8"/>
  </w:num>
  <w:num w:numId="6">
    <w:abstractNumId w:val="14"/>
  </w:num>
  <w:num w:numId="7">
    <w:abstractNumId w:val="10"/>
  </w:num>
  <w:num w:numId="8">
    <w:abstractNumId w:val="5"/>
  </w:num>
  <w:num w:numId="9">
    <w:abstractNumId w:val="12"/>
  </w:num>
  <w:num w:numId="10">
    <w:abstractNumId w:val="1"/>
  </w:num>
  <w:num w:numId="11">
    <w:abstractNumId w:val="3"/>
  </w:num>
  <w:num w:numId="12">
    <w:abstractNumId w:val="0"/>
  </w:num>
  <w:num w:numId="13">
    <w:abstractNumId w:val="2"/>
  </w:num>
  <w:num w:numId="14">
    <w:abstractNumId w:val="7"/>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9E7844"/>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C300CDC"/>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095E4B"/>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EDF37FE"/>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D5F760A"/>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27</Pages>
  <Words>7531</Words>
  <Characters>7763</Characters>
  <Lines>58</Lines>
  <Paragraphs>16</Paragraphs>
  <TotalTime>0</TotalTime>
  <ScaleCrop>false</ScaleCrop>
  <LinksUpToDate>false</LinksUpToDate>
  <CharactersWithSpaces>8092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2024-09-03T09:13:41Z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