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注射用修饰透明质酸钠凝胶</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比选（2024）297号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对注射用修饰透明质酸钠凝胶</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烧伤整形外科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注射用修饰透明质酸钠凝胶</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烧伤整形外科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注射用修饰透明质酸钠凝胶</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6C52">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1、用于眼周及面部皱纹填充。</w:t>
            </w:r>
          </w:p>
          <w:p w14:paraId="301A45AF">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2、规格：1-2ml。</w:t>
            </w:r>
          </w:p>
          <w:p w14:paraId="278A4A16">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3、提供配套注射针头。</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455D6957">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6DE1C8-4E4C-478E-952B-7B1B44BA85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42A3E08-5D45-40B1-9EBA-E0CB33C4392C}"/>
  </w:font>
  <w:font w:name="仿宋">
    <w:panose1 w:val="02010609060101010101"/>
    <w:charset w:val="86"/>
    <w:family w:val="modern"/>
    <w:pitch w:val="default"/>
    <w:sig w:usb0="800002BF" w:usb1="38CF7CFA" w:usb2="00000016" w:usb3="00000000" w:csb0="00040001" w:csb1="00000000"/>
    <w:embedRegular r:id="rId3" w:fontKey="{CA8278C3-A1A4-47EE-8F8F-ACDDF0AA2CEC}"/>
  </w:font>
  <w:font w:name="方正仿宋_GB2312">
    <w:panose1 w:val="02000000000000000000"/>
    <w:charset w:val="86"/>
    <w:family w:val="auto"/>
    <w:pitch w:val="default"/>
    <w:sig w:usb0="A00002BF" w:usb1="184F6CFA" w:usb2="00000012" w:usb3="00000000" w:csb0="00040001" w:csb1="00000000"/>
    <w:embedRegular r:id="rId4" w:fontKey="{BA4E799A-B496-4A24-9CC1-D5E3A41D2297}"/>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BEC6E1F"/>
    <w:rsid w:val="0D576071"/>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E0D665D"/>
    <w:rsid w:val="60A972A5"/>
    <w:rsid w:val="622A069B"/>
    <w:rsid w:val="630930CF"/>
    <w:rsid w:val="642B482A"/>
    <w:rsid w:val="6B70685E"/>
    <w:rsid w:val="6BE9361A"/>
    <w:rsid w:val="6C8B53A2"/>
    <w:rsid w:val="6DBE5C63"/>
    <w:rsid w:val="6FCF76FD"/>
    <w:rsid w:val="70030E51"/>
    <w:rsid w:val="7057415E"/>
    <w:rsid w:val="705E3AE9"/>
    <w:rsid w:val="71CA4040"/>
    <w:rsid w:val="74C23D1D"/>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2</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2024-08-26T09:13:12Z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8895362757D24209A44A565F01D24411_13</vt:lpwstr>
  </property>
</Properties>
</file>