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防护手套箱</w:t>
      </w:r>
      <w:r>
        <w:rPr>
          <w:rFonts w:hint="eastAsia"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1273F960">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33AC5C23">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防护手套箱</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w:t>
            </w:r>
            <w:r>
              <w:rPr>
                <w:rFonts w:hint="eastAsia" w:ascii="仿宋" w:hAnsi="仿宋" w:eastAsia="仿宋" w:cs="仿宋"/>
                <w:sz w:val="22"/>
                <w:lang w:val="en-US" w:eastAsia="zh-CN"/>
              </w:rPr>
              <w:t>84号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22 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19400"/>
      <w:bookmarkStart w:id="3" w:name="_Toc28050"/>
      <w:bookmarkStart w:id="4" w:name="_Toc5431"/>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193"/>
      <w:bookmarkStart w:id="6" w:name="_Toc3988"/>
      <w:bookmarkStart w:id="7" w:name="_Toc1266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2ED7C6CE">
      <w:pPr>
        <w:numPr>
          <w:numId w:val="0"/>
        </w:numPr>
        <w:spacing w:after="317" w:afterLines="100"/>
        <w:ind w:leftChars="0" w:firstLine="480" w:firstLineChars="200"/>
        <w:outlineLvl w:val="1"/>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科技科因核素药物研发，拟购买2台防护手套箱。科室需求一个防护手套箱铅当量为10mmpb、一个防护手套箱铅当量为20mmpb</w:t>
      </w: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22D1B972">
      <w:pPr>
        <w:spacing w:line="360" w:lineRule="auto"/>
        <w:rPr>
          <w:rFonts w:hint="eastAsia" w:ascii="仿宋" w:hAnsi="仿宋" w:eastAsia="仿宋" w:cs="仿宋"/>
          <w:kern w:val="2"/>
          <w:sz w:val="24"/>
          <w:szCs w:val="24"/>
          <w:lang w:val="en-US" w:eastAsia="zh-CN" w:bidi="ar-SA"/>
        </w:rPr>
      </w:pPr>
      <w:bookmarkStart w:id="78" w:name="_GoBack"/>
      <w:r>
        <w:rPr>
          <w:rFonts w:hint="eastAsia" w:ascii="仿宋" w:hAnsi="仿宋" w:eastAsia="仿宋" w:cs="仿宋"/>
          <w:kern w:val="2"/>
          <w:sz w:val="24"/>
          <w:szCs w:val="24"/>
          <w:lang w:val="en-US" w:eastAsia="zh-CN" w:bidi="ar-SA"/>
        </w:rPr>
        <w:t>防护手套箱一</w:t>
      </w:r>
    </w:p>
    <w:p w14:paraId="29303C4E">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一、★防护手套箱一的数量：1台</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二、★防护手套箱一的主要配置：屏蔽主体1套，气密内胆1套，铅屏蔽大门1樘，高铅玻璃视窗1樘，带防护盖伸手孔1套，LED照明系统1套，紫外灭菌灯1套，集成密封装置1套，过滤进风系统1套，过滤排风系统1套，温湿度计1套，PLC控制系统1套，废液收集防护箱1套，固废收集防护箱1套。</w:t>
      </w:r>
    </w:p>
    <w:p w14:paraId="50812EE1">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三、防护手套箱一主要技术参数：</w:t>
      </w:r>
    </w:p>
    <w:p w14:paraId="2941C1F9">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1.整体防护标准≥20mmPb，门口及转轴处做好防射线外漏处理，距离操作面30cm处辐射剂量率&lt;2.5µSv/h。</w:t>
      </w:r>
    </w:p>
    <w:p w14:paraId="0A446FC8">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2.箱体上部为屏蔽工作腔室，下部为废液收集防护箱、固废收集防护箱等的机构仓室。</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3.骨架需为高强度型钢制造，多层环氧防锈处理。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4.内胆厚度≥3mm不锈钢，内胆为一体结构，表面光洁易清理，无清洁死角。</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5.热室表面及面罩厚度≥2mm不锈钢，防指纹拉丝处理。</w:t>
      </w:r>
    </w:p>
    <w:p w14:paraId="554B2038">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6.热室前面设有可灵活开启的铅防护门，可以停在任意位置不移位，门上设有同门体防护当量相同的高铅玻璃观察窗，配置两组操作伸手孔，配置环保柔软操作手套。</w:t>
      </w:r>
    </w:p>
    <w:p w14:paraId="27D9E45C">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前门专用充气密封系统，配置硅胶充气密封圈及有机玻璃板内门，内部的气密性达到ISO10648-2:1994中不低于二级密封性即每小时泄露率≤2.5×10-3/h的标准，（供应商须提供合法检测机构出具的密封达标的检测报告）。</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8.内腔设置过滤送风系统，使分装热室内部洁净级别达到Class C（供应商需提供合法检测机构出具的洁净度满足要求的检测报告）。</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9.内腔设置独立排风系统，排风量≥400m³/h，经过活性炭过滤器过滤后100%外排，活性炭过滤器安装于铅屏蔽体内且可方便维护，有防止活性炭颗粒倒灌措施。</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10.安装进气阀及出气阀，可以调节内胆与房间之间的压差，内胆与房间之间的负压值在-10到-100Pa之间可调。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11.配置LED洁净照明灯具，照度≥350Lux，配置紫外灭菌灯具装置。</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12.至少配备2个安全防溅电源插座，保证气密性且设计美观；预留2个不锈钢双向气体接头，便于气体管路连接。</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13.预留电缆穿越孔1组，≥5个穿线孔洞。</w:t>
      </w:r>
    </w:p>
    <w:p w14:paraId="1879D36B">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14.内胆配置下沉式废液收集屏蔽箱，防护标准≥20mmPb，底板开孔φ20mm。</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15.内胆配置下沉式固废收集屏蔽箱，防护标准≥20mmPb，底板开孔φ50mm。</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16.整个控制系统使用PLC，能够与上位机有良好的通讯。</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17.触摸式操控面板，可控制及显示各项基本功能，包括风机开关，灯源开关，密封圈充气与泄气，屏蔽门开关，温湿度设置及显示等，电气控制板保护等级IP54及以上。</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18.配备内胆温度、湿度、内胆与房间的压差等传感器，传感器安装需便于拆卸和校验。</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19.内胆尺寸≥800×600×700，外形尺寸据用户现场实际情况定制。</w:t>
      </w:r>
    </w:p>
    <w:bookmarkEnd w:id="78"/>
    <w:p w14:paraId="7301C180">
      <w:pPr>
        <w:spacing w:line="360" w:lineRule="auto"/>
        <w:rPr>
          <w:rFonts w:ascii="宋体" w:hAnsi="宋体" w:eastAsia="宋体" w:cs="宋体"/>
          <w:b/>
          <w:bCs/>
          <w:kern w:val="0"/>
          <w:sz w:val="24"/>
          <w:szCs w:val="20"/>
        </w:rPr>
      </w:pPr>
      <w:r>
        <w:rPr>
          <w:rFonts w:hint="eastAsia" w:ascii="宋体" w:hAnsi="宋体" w:eastAsia="宋体" w:cs="宋体"/>
          <w:b/>
          <w:bCs/>
          <w:kern w:val="0"/>
          <w:sz w:val="24"/>
          <w:szCs w:val="24"/>
        </w:rPr>
        <w:t>防护手套箱二</w:t>
      </w:r>
    </w:p>
    <w:p w14:paraId="2E6A9925">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一、★防护手套箱二的数量：1台</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二、★防护手套箱二的主要配置：屏蔽主体1套，气密内胆1套，铅屏蔽大门1樘，高铅玻璃视窗1樘，带防护盖伸手孔2套，LED照明系统1套，紫外灭菌灯1套，集成密封装置1套，过滤进风系统1套，过滤排风系统1套，温湿度计1套，PLC控制系统1套，活度计防护井1套，废液收集防护箱1套，药物防护升降系统1套。</w:t>
      </w:r>
    </w:p>
    <w:p w14:paraId="0F62D353">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三、防护手套箱二主要技术参数：</w:t>
      </w:r>
    </w:p>
    <w:p w14:paraId="02C49F02">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1.整体防护标准≥10mmPb，门口及转轴处做好防射线外漏处理，距离操作面30cm处辐射剂量率&lt;2.5µSv/h。</w:t>
      </w:r>
    </w:p>
    <w:p w14:paraId="083E52C9">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2.箱体上部为屏蔽工作腔室，下部为活度计防护井、废液收集防护箱、药物防护升降系统等的机构仓室。</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3.骨架采用高强度型钢制造，多层环氧防锈处理。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4.内胆厚度≥3mm不锈钢，内胆为一体结构，表面光洁易清理，无清洁死角。</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5.热室表面及面罩厚度≥2mm不锈钢，防指纹拉丝处理。</w:t>
      </w:r>
    </w:p>
    <w:p w14:paraId="4AEAEE75">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6.热室前面设有可灵活开启的铅防护门，可以停在任意位置不移位，门上设有同门体防护当量相同的高铅玻璃观察窗，配置两组操作伸手孔，配置环保柔软操作手套。</w:t>
      </w:r>
    </w:p>
    <w:p w14:paraId="6022395B">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前门专用充气密封系统，配置硅胶充气密封圈及有机玻璃板内门，内部的气密性达到ISO10648-2:1994中不低于二级密封性即每小时泄露率≤2.5×10-3/h的标准，（供应商须提供合法检测机构出具的密封达标的检测报告）。</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8.内腔设置过滤送风系统，分装热室内部洁净级别达到Class C（供应商需提供合法检测机构出具的洁净度满足要求的检测报告）。</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9.内腔设置独立排风系统，排风量≥400m³/h，经过活性炭过滤器过滤后100%外排，活性炭过滤器安装于铅屏蔽体内且可方便维护，有防止活性炭颗粒倒灌措施。</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10.安装进气阀及出气阀，可以调节内胆与房间之间的压差，内胆与房间之间的负压值在-10到-100Pa之间可调。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11.配置LED洁净照明灯具，照度≥350Lux，配置紫外灭菌灯具装置。</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12.至少配备2个安全防溅电源插座，保证气密性且设计美观；预留2个不锈钢双向气体接头，便于气体管路连接。</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13.预留电缆穿越孔1组，≥5个穿线孔洞。</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14.内胆配置下沉式活度计防护井，防护标准≥10mmPb，外侧设置活度计托盘。</w:t>
      </w:r>
    </w:p>
    <w:p w14:paraId="7602DCA7">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15.内胆配置下沉式废液收集防护箱，防护标准≥10mmPb，底板开孔φ20mm。</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16.配置药物铅罐或注射器提盒的防护升降装置，降低工作人员劳动强度及缩短与放射性药物的近距离接触时间，防护标准≥10mmPb。</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17.整个控制系统使用PLC，能够与上位机有良好的通讯。</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18.触摸式操控面板，可控制及显示各项基本功能，包括风机开关，灯源开关，密封圈充气与泄气，屏蔽门开关，温湿度设置及显示等，电气控制板保护等级IP54及以上。</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19.配备内胆温度、湿度、内胆与房间的压差等传感器，传感器安装需便于拆卸和校验。</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20.内胆尺寸≥800×600×700，外形尺寸据用户现场实际情况定制。</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8" w:name="_Toc16344"/>
      <w:bookmarkStart w:id="9" w:name="_Toc3094"/>
      <w:bookmarkStart w:id="10" w:name="_Toc22827"/>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5913"/>
      <w:bookmarkStart w:id="12" w:name="_Toc4960"/>
      <w:bookmarkStart w:id="13" w:name="_Toc29819"/>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19851"/>
      <w:bookmarkStart w:id="15" w:name="_Toc9428"/>
      <w:bookmarkStart w:id="16" w:name="_Toc30609"/>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32352"/>
      <w:bookmarkStart w:id="18" w:name="_Toc9041"/>
      <w:bookmarkStart w:id="19" w:name="_Toc1544"/>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32749"/>
      <w:bookmarkStart w:id="23" w:name="_Toc17163"/>
      <w:bookmarkStart w:id="24" w:name="_Toc24859"/>
      <w:bookmarkStart w:id="25" w:name="_Toc1690"/>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17905"/>
      <w:bookmarkStart w:id="27" w:name="_Toc3558"/>
      <w:bookmarkStart w:id="28" w:name="_Toc6803"/>
      <w:bookmarkStart w:id="29" w:name="_Toc24123"/>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27135"/>
      <w:bookmarkStart w:id="31" w:name="_Toc27526"/>
      <w:bookmarkStart w:id="32" w:name="_Toc2989"/>
      <w:bookmarkStart w:id="33" w:name="_Toc5996"/>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5056"/>
      <w:bookmarkStart w:id="36" w:name="_Toc7233"/>
      <w:bookmarkStart w:id="37" w:name="_Toc2031"/>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21519"/>
      <w:bookmarkStart w:id="39" w:name="_Toc3023"/>
      <w:bookmarkStart w:id="40" w:name="_Toc11352"/>
      <w:bookmarkStart w:id="41" w:name="_Toc6482"/>
      <w:bookmarkStart w:id="42" w:name="_Toc14829"/>
      <w:bookmarkStart w:id="43" w:name="_Toc16029"/>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4305"/>
      <w:bookmarkStart w:id="45" w:name="_Toc17857"/>
      <w:bookmarkStart w:id="46" w:name="_Toc30971"/>
      <w:bookmarkStart w:id="47" w:name="_Toc22676"/>
      <w:bookmarkStart w:id="48" w:name="_Toc31838"/>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13904"/>
      <w:bookmarkStart w:id="54" w:name="_Toc25357"/>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0589"/>
      <w:bookmarkStart w:id="58" w:name="_Toc25638"/>
      <w:bookmarkStart w:id="59" w:name="_Toc11351"/>
      <w:bookmarkStart w:id="60" w:name="_Toc15526"/>
      <w:bookmarkStart w:id="61" w:name="_Toc12015"/>
      <w:bookmarkStart w:id="62" w:name="_Toc27661"/>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2967"/>
      <w:bookmarkStart w:id="64" w:name="_Toc2041"/>
      <w:bookmarkStart w:id="65" w:name="_Toc26969"/>
      <w:bookmarkStart w:id="66" w:name="_Toc16435"/>
      <w:bookmarkStart w:id="67" w:name="_Toc23967"/>
      <w:bookmarkStart w:id="68" w:name="_Toc1074"/>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24494"/>
      <w:bookmarkStart w:id="71" w:name="_Toc32605"/>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30002"/>
      <w:bookmarkStart w:id="74" w:name="_Toc14685"/>
      <w:bookmarkStart w:id="75"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17F802B-4904-4400-8DEB-C90107704F8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323A8D1-D0A2-4668-9519-8C555BEE7F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6AC71C6-6334-4F57-B67F-11F9104D82EF}"/>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F042E5A1-0045-4FF9-A05C-F8DF20F246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43D35DD"/>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AEF1053"/>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27</Pages>
  <Words>7377</Words>
  <Characters>7643</Characters>
  <Lines>58</Lines>
  <Paragraphs>16</Paragraphs>
  <TotalTime>0</TotalTime>
  <ScaleCrop>false</ScaleCrop>
  <LinksUpToDate>false</LinksUpToDate>
  <CharactersWithSpaces>7966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2024-08-20T09:27:36Z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