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hint="default" w:ascii="黑体" w:hAnsi="黑体" w:eastAsia="黑体" w:cs="黑体"/>
          <w:spacing w:val="7"/>
          <w:sz w:val="36"/>
          <w:szCs w:val="36"/>
          <w:lang w:val="en-US" w:eastAsia="zh-CN"/>
        </w:rPr>
      </w:pPr>
      <w:r>
        <w:rPr>
          <w:rFonts w:hint="eastAsia" w:ascii="黑体" w:hAnsi="黑体" w:eastAsia="黑体" w:cs="黑体"/>
          <w:spacing w:val="7"/>
          <w:sz w:val="36"/>
          <w:szCs w:val="36"/>
        </w:rPr>
        <w:t>项目名称：膀胱镜维修配件</w:t>
      </w:r>
    </w:p>
    <w:p>
      <w:pPr>
        <w:numPr>
          <w:ilvl w:val="0"/>
          <w:numId w:val="0"/>
        </w:numPr>
        <w:ind w:firstLine="1496" w:firstLineChars="400"/>
        <w:rPr>
          <w:rFonts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211</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320" w:firstLineChars="100"/>
        <w:rPr>
          <w:rFonts w:ascii="黑体" w:hAnsi="黑体" w:eastAsia="黑体" w:cs="黑体"/>
          <w:spacing w:val="7"/>
          <w:sz w:val="36"/>
          <w:szCs w:val="36"/>
        </w:rPr>
      </w:pPr>
      <w:r>
        <w:rPr>
          <w:rFonts w:hint="eastAsia" w:ascii="仿宋" w:hAnsi="仿宋" w:eastAsia="仿宋" w:cs="仿宋"/>
          <w:spacing w:val="5"/>
          <w:sz w:val="31"/>
          <w:szCs w:val="31"/>
        </w:rPr>
        <w:t>绵阳市中心医</w:t>
      </w:r>
      <w:r>
        <w:rPr>
          <w:rFonts w:hint="eastAsia" w:ascii="仿宋" w:hAnsi="仿宋" w:eastAsia="仿宋" w:cs="仿宋"/>
          <w:spacing w:val="5"/>
          <w:sz w:val="31"/>
          <w:szCs w:val="31"/>
        </w:rPr>
        <w:t>院拟对膀胱镜维修配件</w:t>
      </w:r>
      <w:r>
        <w:rPr>
          <w:rFonts w:hint="eastAsia" w:ascii="仿宋" w:hAnsi="仿宋" w:eastAsia="仿宋" w:cs="仿宋"/>
          <w:spacing w:val="5"/>
          <w:sz w:val="31"/>
          <w:szCs w:val="31"/>
        </w:rPr>
        <w:t>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numPr>
          <w:ilvl w:val="0"/>
          <w:numId w:val="0"/>
        </w:numPr>
        <w:ind w:firstLine="320" w:firstLineChars="100"/>
        <w:rPr>
          <w:rFonts w:hint="eastAsia" w:ascii="仿宋" w:hAnsi="仿宋" w:eastAsia="仿宋" w:cs="仿宋"/>
          <w:spacing w:val="5"/>
          <w:sz w:val="31"/>
          <w:szCs w:val="31"/>
        </w:rPr>
      </w:pPr>
      <w:r>
        <w:rPr>
          <w:rFonts w:hint="eastAsia" w:ascii="仿宋" w:hAnsi="仿宋" w:eastAsia="仿宋" w:cs="仿宋"/>
          <w:spacing w:val="5"/>
          <w:sz w:val="31"/>
          <w:szCs w:val="31"/>
        </w:rPr>
        <w:t>膀胱镜维修配件</w:t>
      </w:r>
    </w:p>
    <w:p>
      <w:pPr>
        <w:numPr>
          <w:ilvl w:val="0"/>
          <w:numId w:val="0"/>
        </w:numPr>
        <w:ind w:firstLine="302" w:firstLineChars="100"/>
        <w:rPr>
          <w:rFonts w:hint="eastAsia" w:ascii="仿宋" w:hAnsi="仿宋" w:eastAsia="仿宋" w:cs="仿宋"/>
          <w:snapToGrid w:val="0"/>
          <w:color w:val="000000"/>
          <w:spacing w:val="-4"/>
          <w:sz w:val="31"/>
          <w:szCs w:val="31"/>
          <w:lang w:val="en-US" w:eastAsia="zh-CN" w:bidi="ar-SA"/>
          <w14:textOutline w14:w="5791" w14:cap="sq" w14:cmpd="sng" w14:algn="ctr">
            <w14:solidFill>
              <w14:srgbClr w14:val="000000"/>
            </w14:solidFill>
            <w14:prstDash w14:val="solid"/>
            <w14:bevel/>
          </w14:textOutline>
        </w:rPr>
      </w:pPr>
      <w:r>
        <w:rPr>
          <w:rFonts w:hint="eastAsia" w:ascii="仿宋" w:hAnsi="仿宋" w:eastAsia="仿宋" w:cs="仿宋"/>
          <w:snapToGrid w:val="0"/>
          <w:color w:val="000000"/>
          <w:spacing w:val="-4"/>
          <w:sz w:val="31"/>
          <w:szCs w:val="31"/>
          <w:lang w:val="en-US" w:eastAsia="zh-CN" w:bidi="ar-SA"/>
          <w14:textOutline w14:w="5791" w14:cap="sq" w14:cmpd="sng" w14:algn="ctr">
            <w14:solidFill>
              <w14:srgbClr w14:val="000000"/>
            </w14:solidFill>
            <w14:prstDash w14:val="solid"/>
            <w14:bevel/>
          </w14:textOutline>
        </w:rPr>
        <w:t>二、 比选要求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80" w:hanging="652" w:hanging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pStyle w:val="1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ind w:firstLine="652" w:firstLineChars="200"/>
        <w:rPr>
          <w:rFonts w:ascii="仿宋" w:hAnsi="仿宋" w:eastAsia="仿宋" w:cs="仿宋"/>
          <w:spacing w:val="8"/>
          <w:sz w:val="31"/>
          <w:szCs w:val="31"/>
        </w:rPr>
      </w:pP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line="360" w:lineRule="auto"/>
        <w:rPr>
          <w:kern w:val="0"/>
          <w:sz w:val="24"/>
          <w:szCs w:val="24"/>
        </w:rPr>
      </w:pPr>
      <w:r>
        <w:rPr>
          <w:rFonts w:hint="eastAsia"/>
          <w:kern w:val="0"/>
          <w:sz w:val="24"/>
          <w:szCs w:val="24"/>
        </w:rPr>
        <w:t>1、膀胱镜</w:t>
      </w:r>
      <w:r>
        <w:rPr>
          <w:kern w:val="0"/>
          <w:sz w:val="24"/>
          <w:szCs w:val="24"/>
        </w:rPr>
        <w:t>品牌为</w:t>
      </w:r>
      <w:r>
        <w:rPr>
          <w:rFonts w:hint="eastAsia"/>
          <w:kern w:val="0"/>
          <w:sz w:val="24"/>
          <w:szCs w:val="24"/>
        </w:rPr>
        <w:t>好克，配件型号有25°/30°/70°的膀胱镜内窥镜、18号/21号的镜鞘（含闭孔器）、配套镜桥。能匹配好克膀胱镜的配件均可参与。</w:t>
      </w:r>
    </w:p>
    <w:p>
      <w:pPr>
        <w:spacing w:line="360" w:lineRule="auto"/>
        <w:rPr>
          <w:kern w:val="0"/>
          <w:sz w:val="24"/>
          <w:szCs w:val="24"/>
        </w:rPr>
      </w:pPr>
      <w:r>
        <w:rPr>
          <w:rFonts w:hint="eastAsia"/>
          <w:kern w:val="0"/>
          <w:sz w:val="24"/>
          <w:szCs w:val="24"/>
        </w:rPr>
        <w:t>2、请报出维修更换以下膀胱镜配件的单价。</w:t>
      </w:r>
    </w:p>
    <w:tbl>
      <w:tblPr>
        <w:tblStyle w:val="9"/>
        <w:tblW w:w="4880" w:type="pct"/>
        <w:tblInd w:w="0" w:type="dxa"/>
        <w:tblLayout w:type="fixed"/>
        <w:tblCellMar>
          <w:top w:w="0" w:type="dxa"/>
          <w:left w:w="108" w:type="dxa"/>
          <w:bottom w:w="0" w:type="dxa"/>
          <w:right w:w="108" w:type="dxa"/>
        </w:tblCellMar>
      </w:tblPr>
      <w:tblGrid>
        <w:gridCol w:w="5632"/>
        <w:gridCol w:w="2715"/>
      </w:tblGrid>
      <w:tr>
        <w:tblPrEx>
          <w:tblCellMar>
            <w:top w:w="0" w:type="dxa"/>
            <w:left w:w="108" w:type="dxa"/>
            <w:bottom w:w="0" w:type="dxa"/>
            <w:right w:w="108" w:type="dxa"/>
          </w:tblCellMar>
        </w:tblPrEx>
        <w:trPr>
          <w:trHeight w:val="600" w:hRule="atLeast"/>
        </w:trPr>
        <w:tc>
          <w:tcPr>
            <w:tcW w:w="3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配件名称</w:t>
            </w:r>
          </w:p>
        </w:tc>
        <w:tc>
          <w:tcPr>
            <w:tcW w:w="162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配件单价（元）</w:t>
            </w:r>
          </w:p>
        </w:tc>
      </w:tr>
      <w:tr>
        <w:tblPrEx>
          <w:tblCellMar>
            <w:top w:w="0" w:type="dxa"/>
            <w:left w:w="108" w:type="dxa"/>
            <w:bottom w:w="0" w:type="dxa"/>
            <w:right w:w="108" w:type="dxa"/>
          </w:tblCellMar>
        </w:tblPrEx>
        <w:trPr>
          <w:trHeight w:val="600" w:hRule="atLeast"/>
        </w:trPr>
        <w:tc>
          <w:tcPr>
            <w:tcW w:w="337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sz w:val="24"/>
                <w:szCs w:val="24"/>
              </w:rPr>
              <w:t>25°/30°/70°的膀胱镜内窥镜</w:t>
            </w:r>
          </w:p>
        </w:tc>
        <w:tc>
          <w:tcPr>
            <w:tcW w:w="16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600" w:hRule="atLeast"/>
        </w:trPr>
        <w:tc>
          <w:tcPr>
            <w:tcW w:w="337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sz w:val="24"/>
                <w:szCs w:val="24"/>
              </w:rPr>
              <w:t>18号/21号的镜鞘（含闭孔器）</w:t>
            </w:r>
          </w:p>
        </w:tc>
        <w:tc>
          <w:tcPr>
            <w:tcW w:w="16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600" w:hRule="atLeast"/>
        </w:trPr>
        <w:tc>
          <w:tcPr>
            <w:tcW w:w="337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sz w:val="24"/>
                <w:szCs w:val="24"/>
              </w:rPr>
              <w:t>配套镜桥</w:t>
            </w:r>
          </w:p>
        </w:tc>
        <w:tc>
          <w:tcPr>
            <w:tcW w:w="16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spacing w:before="218" w:line="357" w:lineRule="auto"/>
        <w:ind w:left="37" w:right="14" w:firstLine="642"/>
        <w:rPr>
          <w:rFonts w:ascii="仿宋" w:hAnsi="仿宋" w:eastAsia="仿宋" w:cs="仿宋"/>
          <w:spacing w:val="8"/>
          <w:sz w:val="31"/>
          <w:szCs w:val="31"/>
        </w:rPr>
      </w:pPr>
      <w:bookmarkStart w:id="30" w:name="_GoBack"/>
      <w:bookmarkEnd w:id="30"/>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1、成交供应商需在30日内与采购人签订协议服务合同。</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2、付款方式：以实际更换配件支付费用，采购人收到中标人提交完备票据凭证资料后30日内支付100%货款。</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3、验收要求：医学装备科和设备使用科室会同公司共同验收。</w:t>
      </w:r>
    </w:p>
    <w:p>
      <w:pPr>
        <w:ind w:left="72"/>
        <w:outlineLvl w:val="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4、售后服务：服务期2年，更换配件质保3个月及以上。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443397363"/>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43397365"/>
      <w:bookmarkStart w:id="7" w:name="_Toc482266101"/>
      <w:bookmarkStart w:id="8" w:name="_Toc11764032"/>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1356387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82266104"/>
      <w:bookmarkStart w:id="26" w:name="_Toc13563883"/>
      <w:bookmarkStart w:id="27" w:name="_Toc443393358"/>
      <w:bookmarkStart w:id="28" w:name="_Toc11764042"/>
      <w:bookmarkStart w:id="29" w:name="_Toc443397367"/>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C04F6C-9313-4C06-B41C-DFF225BA4A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7D4AF217-9FDE-4889-B1A9-A4845A51843F}"/>
  </w:font>
  <w:font w:name="仿宋">
    <w:panose1 w:val="02010609060101010101"/>
    <w:charset w:val="86"/>
    <w:family w:val="modern"/>
    <w:pitch w:val="default"/>
    <w:sig w:usb0="800002BF" w:usb1="38CF7CFA" w:usb2="00000016" w:usb3="00000000" w:csb0="00040001" w:csb1="00000000"/>
    <w:embedRegular r:id="rId3" w:fontKey="{32F1346D-9093-4D4F-816C-901982E9BB0E}"/>
  </w:font>
  <w:font w:name="方正仿宋_GB2312">
    <w:panose1 w:val="02000000000000000000"/>
    <w:charset w:val="86"/>
    <w:family w:val="auto"/>
    <w:pitch w:val="default"/>
    <w:sig w:usb0="A00002BF" w:usb1="184F6CFA" w:usb2="00000012" w:usb3="00000000" w:csb0="00040001" w:csb1="00000000"/>
    <w:embedRegular r:id="rId4" w:fontKey="{DAA78266-7115-4FFF-82DB-CA8F8FB8320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2E94025"/>
    <w:rsid w:val="05A03BB3"/>
    <w:rsid w:val="08C25D11"/>
    <w:rsid w:val="0E4D3152"/>
    <w:rsid w:val="0FF47E3A"/>
    <w:rsid w:val="1E500961"/>
    <w:rsid w:val="201725C8"/>
    <w:rsid w:val="29276970"/>
    <w:rsid w:val="2CB63FA3"/>
    <w:rsid w:val="31132938"/>
    <w:rsid w:val="368F3A91"/>
    <w:rsid w:val="3E960A3C"/>
    <w:rsid w:val="43375539"/>
    <w:rsid w:val="44797FA0"/>
    <w:rsid w:val="47BF0164"/>
    <w:rsid w:val="490E1F0B"/>
    <w:rsid w:val="4F9D48D9"/>
    <w:rsid w:val="525939B7"/>
    <w:rsid w:val="5C33726B"/>
    <w:rsid w:val="64ED2DCD"/>
    <w:rsid w:val="66050EF4"/>
    <w:rsid w:val="68DC64DF"/>
    <w:rsid w:val="7056338F"/>
    <w:rsid w:val="70946E08"/>
    <w:rsid w:val="7E4744E6"/>
    <w:rsid w:val="7F7F6119"/>
    <w:rsid w:val="7FE00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4530</Words>
  <Characters>4757</Characters>
  <Lines>45</Lines>
  <Paragraphs>12</Paragraphs>
  <TotalTime>0</TotalTime>
  <ScaleCrop>false</ScaleCrop>
  <LinksUpToDate>false</LinksUpToDate>
  <CharactersWithSpaces>5779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2024-07-02T07:34:19Z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