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eastAsia" w:ascii="黑体" w:hAnsi="黑体" w:eastAsia="黑体" w:cs="黑体"/>
          <w:spacing w:val="7"/>
          <w:sz w:val="36"/>
          <w:szCs w:val="36"/>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val="en-US" w:eastAsia="zh-CN"/>
        </w:rPr>
        <w:t>环保型生物标本保存液</w:t>
      </w: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209</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704" w:firstLineChars="8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1056" w:firstLineChars="3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pacing w:val="5"/>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40" w:line="228" w:lineRule="auto"/>
        <w:ind w:left="36" w:firstLine="640" w:firstLineChars="2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lang w:val="en-US" w:eastAsia="zh-CN"/>
        </w:rPr>
        <w:t>环保型生物标本保存液</w:t>
      </w:r>
      <w:r>
        <w:rPr>
          <w:rFonts w:hint="eastAsia" w:ascii="仿宋" w:hAnsi="仿宋" w:eastAsia="仿宋" w:cs="仿宋"/>
          <w:spacing w:val="5"/>
          <w:sz w:val="31"/>
          <w:szCs w:val="31"/>
        </w:rPr>
        <w:t>进</w:t>
      </w:r>
      <w:r>
        <w:rPr>
          <w:rFonts w:ascii="仿宋" w:hAnsi="仿宋" w:eastAsia="仿宋" w:cs="仿宋"/>
          <w:spacing w:val="5"/>
          <w:sz w:val="31"/>
          <w:szCs w:val="31"/>
        </w:rPr>
        <w:t>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pStyle w:val="18"/>
        <w:numPr>
          <w:numId w:val="0"/>
        </w:numPr>
        <w:spacing w:before="1" w:line="292" w:lineRule="auto"/>
        <w:ind w:left="40" w:leftChars="0" w:right="5111" w:rightChars="0"/>
        <w:rPr>
          <w:rFonts w:hint="default"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环保型生物标本保存液</w:t>
      </w:r>
    </w:p>
    <w:p>
      <w:pPr>
        <w:spacing w:before="40" w:line="228" w:lineRule="auto"/>
        <w:ind w:left="36" w:firstLine="640" w:firstLineChars="200"/>
        <w:rPr>
          <w:rFonts w:hint="eastAsia" w:ascii="仿宋" w:hAnsi="仿宋" w:eastAsia="仿宋" w:cs="仿宋"/>
          <w:spacing w:val="5"/>
          <w:sz w:val="31"/>
          <w:szCs w:val="31"/>
        </w:rPr>
      </w:pPr>
      <w:r>
        <w:rPr>
          <w:rFonts w:hint="eastAsia" w:ascii="仿宋" w:hAnsi="仿宋" w:eastAsia="仿宋" w:cs="仿宋"/>
          <w:spacing w:val="5"/>
          <w:sz w:val="31"/>
          <w:szCs w:val="31"/>
        </w:rPr>
        <w:t>二、 比选要求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1、具有独立承担民事责任的能力。</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2、具有良好的商业信誉和健全的财务会计制度。</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3、具有履行合同所必须的设备和专业技术能力。</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4、有依法缴纳税收和社会保障资金的良好记录。</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5、供应商参加本次政府采购活动前三年内，在经营活动中没有重大违法记录。</w:t>
      </w:r>
    </w:p>
    <w:p>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6、本项目参加政府采购活动的投标人、法定代表人(非法人负责人、自然人本人)在前3年内不得具有行贿犯罪记录。</w:t>
      </w:r>
    </w:p>
    <w:p>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7、法律、行政法规规定的其他条件。</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9"/>
        <w:tblpPr w:leftFromText="180" w:rightFromText="180" w:vertAnchor="text" w:horzAnchor="page" w:tblpXSpec="center" w:tblpY="604"/>
        <w:tblOverlap w:val="never"/>
        <w:tblW w:w="6690" w:type="dxa"/>
        <w:jc w:val="center"/>
        <w:tblLayout w:type="fixed"/>
        <w:tblCellMar>
          <w:top w:w="0" w:type="dxa"/>
          <w:left w:w="0" w:type="dxa"/>
          <w:bottom w:w="0" w:type="dxa"/>
          <w:right w:w="0" w:type="dxa"/>
        </w:tblCellMar>
      </w:tblPr>
      <w:tblGrid>
        <w:gridCol w:w="368"/>
        <w:gridCol w:w="518"/>
        <w:gridCol w:w="2253"/>
        <w:gridCol w:w="1976"/>
        <w:gridCol w:w="614"/>
        <w:gridCol w:w="961"/>
      </w:tblGrid>
      <w:tr>
        <w:tblPrEx>
          <w:tblCellMar>
            <w:top w:w="0" w:type="dxa"/>
            <w:left w:w="0" w:type="dxa"/>
            <w:bottom w:w="0" w:type="dxa"/>
            <w:right w:w="0" w:type="dxa"/>
          </w:tblCellMar>
        </w:tblPrEx>
        <w:trPr>
          <w:jc w:val="center"/>
        </w:trPr>
        <w:tc>
          <w:tcPr>
            <w:tcW w:w="3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 w:eastAsia="宋" w:cs="宋"/>
                <w:b/>
                <w:bCs/>
                <w:color w:val="000000"/>
                <w:kern w:val="0"/>
                <w:sz w:val="20"/>
                <w:szCs w:val="20"/>
                <w:lang w:val="zh-CN"/>
              </w:rPr>
            </w:pPr>
            <w:r>
              <w:rPr>
                <w:rFonts w:hint="eastAsia" w:ascii="宋" w:eastAsia="宋" w:cs="宋"/>
                <w:b/>
                <w:bCs/>
                <w:color w:val="000000"/>
                <w:kern w:val="0"/>
                <w:sz w:val="20"/>
                <w:szCs w:val="20"/>
                <w:lang w:val="zh-CN"/>
              </w:rPr>
              <w:t>序号</w:t>
            </w:r>
          </w:p>
        </w:tc>
        <w:tc>
          <w:tcPr>
            <w:tcW w:w="5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 w:eastAsia="宋" w:cs="宋"/>
                <w:b/>
                <w:bCs/>
                <w:color w:val="000000"/>
                <w:kern w:val="0"/>
                <w:sz w:val="20"/>
                <w:szCs w:val="20"/>
                <w:lang w:val="zh-CN"/>
              </w:rPr>
            </w:pPr>
            <w:r>
              <w:rPr>
                <w:rFonts w:hint="eastAsia" w:ascii="宋" w:eastAsia="宋" w:cs="宋"/>
                <w:b/>
                <w:bCs/>
                <w:color w:val="000000"/>
                <w:kern w:val="0"/>
                <w:sz w:val="20"/>
                <w:szCs w:val="20"/>
                <w:lang w:val="zh-CN"/>
              </w:rPr>
              <w:t>产品名称</w:t>
            </w:r>
          </w:p>
        </w:tc>
        <w:tc>
          <w:tcPr>
            <w:tcW w:w="22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 w:eastAsia="宋" w:cs="宋"/>
                <w:b/>
                <w:bCs/>
                <w:color w:val="000000"/>
                <w:kern w:val="0"/>
                <w:sz w:val="20"/>
                <w:szCs w:val="20"/>
                <w:lang w:val="zh-CN"/>
              </w:rPr>
            </w:pPr>
            <w:r>
              <w:rPr>
                <w:rFonts w:hint="eastAsia" w:ascii="宋" w:eastAsia="宋" w:cs="宋"/>
                <w:b/>
                <w:bCs/>
                <w:color w:val="000000"/>
                <w:kern w:val="0"/>
                <w:sz w:val="20"/>
                <w:szCs w:val="20"/>
                <w:lang w:val="zh-CN"/>
              </w:rPr>
              <w:t>技术要求</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 w:eastAsia="宋" w:cs="宋"/>
                <w:b/>
                <w:bCs/>
                <w:color w:val="000000"/>
                <w:kern w:val="0"/>
                <w:sz w:val="20"/>
                <w:szCs w:val="20"/>
                <w:lang w:val="zh-CN"/>
              </w:rPr>
            </w:pPr>
            <w:r>
              <w:rPr>
                <w:rFonts w:hint="eastAsia" w:ascii="宋" w:eastAsia="宋" w:cs="宋"/>
                <w:b/>
                <w:bCs/>
                <w:color w:val="000000"/>
                <w:kern w:val="0"/>
                <w:sz w:val="20"/>
                <w:szCs w:val="20"/>
                <w:lang w:val="zh-CN"/>
              </w:rPr>
              <w:t>产品用途</w:t>
            </w:r>
          </w:p>
        </w:tc>
        <w:tc>
          <w:tcPr>
            <w:tcW w:w="6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 w:eastAsia="宋" w:cs="宋"/>
                <w:b/>
                <w:bCs/>
                <w:color w:val="000000"/>
                <w:kern w:val="0"/>
                <w:sz w:val="22"/>
                <w:szCs w:val="22"/>
                <w:lang w:val="zh-CN"/>
              </w:rPr>
            </w:pPr>
            <w:r>
              <w:rPr>
                <w:rFonts w:hint="eastAsia" w:ascii="宋" w:eastAsia="宋" w:cs="宋"/>
                <w:b/>
                <w:bCs/>
                <w:color w:val="000000"/>
                <w:kern w:val="0"/>
                <w:sz w:val="22"/>
                <w:szCs w:val="22"/>
                <w:lang w:val="zh-CN"/>
              </w:rPr>
              <w:t>计价单位</w:t>
            </w:r>
          </w:p>
        </w:tc>
        <w:tc>
          <w:tcPr>
            <w:tcW w:w="9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 w:eastAsia="宋" w:cs="宋"/>
                <w:b/>
                <w:bCs/>
                <w:color w:val="000000"/>
                <w:kern w:val="0"/>
                <w:sz w:val="22"/>
                <w:szCs w:val="22"/>
                <w:lang w:val="zh-CN"/>
              </w:rPr>
            </w:pPr>
            <w:r>
              <w:rPr>
                <w:rFonts w:hint="eastAsia" w:ascii="宋" w:eastAsia="宋" w:cs="宋"/>
                <w:b/>
                <w:bCs/>
                <w:color w:val="000000"/>
                <w:kern w:val="0"/>
                <w:sz w:val="22"/>
                <w:szCs w:val="22"/>
                <w:lang w:val="zh-CN"/>
              </w:rPr>
              <w:t>限制价格（元）</w:t>
            </w:r>
          </w:p>
        </w:tc>
      </w:tr>
      <w:tr>
        <w:tblPrEx>
          <w:tblCellMar>
            <w:top w:w="0" w:type="dxa"/>
            <w:left w:w="0" w:type="dxa"/>
            <w:bottom w:w="0" w:type="dxa"/>
            <w:right w:w="0" w:type="dxa"/>
          </w:tblCellMar>
        </w:tblPrEx>
        <w:trPr>
          <w:trHeight w:val="3061" w:hRule="atLeast"/>
          <w:jc w:val="center"/>
        </w:trPr>
        <w:tc>
          <w:tcPr>
            <w:tcW w:w="3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 w:eastAsia="宋" w:cs="宋"/>
                <w:color w:val="000000"/>
                <w:kern w:val="0"/>
                <w:szCs w:val="21"/>
                <w:lang w:val="zh-CN"/>
              </w:rPr>
            </w:pPr>
            <w:r>
              <w:rPr>
                <w:rFonts w:ascii="宋" w:eastAsia="宋" w:cs="宋"/>
                <w:color w:val="000000"/>
                <w:kern w:val="0"/>
                <w:szCs w:val="21"/>
                <w:lang w:val="zh-CN"/>
              </w:rPr>
              <w:t>1</w:t>
            </w:r>
          </w:p>
        </w:tc>
        <w:tc>
          <w:tcPr>
            <w:tcW w:w="5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 w:eastAsia="宋" w:cs="宋"/>
                <w:color w:val="000000"/>
                <w:kern w:val="0"/>
                <w:sz w:val="20"/>
                <w:szCs w:val="20"/>
                <w:lang w:val="zh-CN"/>
              </w:rPr>
            </w:pPr>
            <w:r>
              <w:rPr>
                <w:rFonts w:hint="eastAsia" w:ascii="宋体" w:hAnsi="宋体"/>
                <w:color w:val="000000"/>
                <w:sz w:val="21"/>
                <w:szCs w:val="24"/>
                <w:lang w:val="en-US"/>
              </w:rPr>
              <w:t>环保型生物标本保存液</w:t>
            </w:r>
          </w:p>
        </w:tc>
        <w:tc>
          <w:tcPr>
            <w:tcW w:w="225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autoSpaceDE w:val="0"/>
              <w:autoSpaceDN w:val="0"/>
              <w:adjustRightInd w:val="0"/>
              <w:ind w:left="105" w:leftChars="0"/>
              <w:jc w:val="left"/>
              <w:rPr>
                <w:rFonts w:hint="eastAsia" w:ascii="宋体" w:hAnsi="宋体"/>
                <w:color w:val="000000"/>
                <w:sz w:val="21"/>
                <w:szCs w:val="24"/>
                <w:lang w:val="en-US"/>
              </w:rPr>
            </w:pPr>
            <w:r>
              <w:rPr>
                <w:rFonts w:hint="eastAsia" w:ascii="宋体" w:hAnsi="宋体"/>
                <w:color w:val="000000"/>
                <w:sz w:val="21"/>
                <w:szCs w:val="24"/>
                <w:lang w:val="en-US" w:eastAsia="zh-CN"/>
              </w:rPr>
              <w:t>1.</w:t>
            </w:r>
            <w:r>
              <w:rPr>
                <w:rFonts w:hint="eastAsia" w:ascii="宋体" w:hAnsi="宋体"/>
                <w:color w:val="000000"/>
                <w:sz w:val="21"/>
                <w:szCs w:val="24"/>
                <w:lang w:val="en-US"/>
              </w:rPr>
              <w:t xml:space="preserve">外观：无色液体，无特殊气味； </w:t>
            </w:r>
          </w:p>
          <w:p>
            <w:pPr>
              <w:numPr>
                <w:ilvl w:val="0"/>
                <w:numId w:val="0"/>
              </w:numPr>
              <w:autoSpaceDE w:val="0"/>
              <w:autoSpaceDN w:val="0"/>
              <w:adjustRightInd w:val="0"/>
              <w:ind w:left="105" w:leftChars="0"/>
              <w:jc w:val="left"/>
              <w:rPr>
                <w:rFonts w:ascii="宋体" w:cs="宋体"/>
                <w:color w:val="000000"/>
                <w:kern w:val="0"/>
                <w:szCs w:val="21"/>
                <w:lang w:val="zh-CN"/>
              </w:rPr>
            </w:pPr>
            <w:r>
              <w:rPr>
                <w:rFonts w:hint="eastAsia" w:ascii="宋体" w:hAnsi="宋体"/>
                <w:color w:val="000000"/>
                <w:sz w:val="21"/>
                <w:szCs w:val="24"/>
                <w:lang w:val="en-US" w:eastAsia="zh-CN"/>
              </w:rPr>
              <w:t>2.</w:t>
            </w:r>
            <w:r>
              <w:rPr>
                <w:rFonts w:hint="eastAsia" w:ascii="宋体" w:hAnsi="宋体"/>
                <w:color w:val="000000"/>
                <w:sz w:val="21"/>
                <w:szCs w:val="24"/>
                <w:lang w:val="en-US"/>
              </w:rPr>
              <w:t>PH值：6.0-8.0； 3.相对密度：</w:t>
            </w:r>
            <w:r>
              <w:rPr>
                <w:rFonts w:hint="eastAsia" w:ascii="宋体" w:hAnsi="宋体"/>
                <w:color w:val="000000"/>
                <w:sz w:val="21"/>
                <w:szCs w:val="24"/>
                <w:lang w:val="en-US" w:eastAsia="zh-CN"/>
              </w:rPr>
              <w:t>3.</w:t>
            </w:r>
            <w:r>
              <w:rPr>
                <w:rFonts w:hint="eastAsia" w:ascii="宋体" w:hAnsi="宋体"/>
                <w:color w:val="000000"/>
                <w:sz w:val="21"/>
                <w:szCs w:val="24"/>
                <w:lang w:val="en-US"/>
              </w:rPr>
              <w:t xml:space="preserve">0.90-1.20kg/m³ </w:t>
            </w:r>
          </w:p>
          <w:p>
            <w:pPr>
              <w:numPr>
                <w:ilvl w:val="0"/>
                <w:numId w:val="0"/>
              </w:numPr>
              <w:autoSpaceDE w:val="0"/>
              <w:autoSpaceDN w:val="0"/>
              <w:adjustRightInd w:val="0"/>
              <w:ind w:left="105" w:leftChars="0"/>
              <w:jc w:val="left"/>
              <w:rPr>
                <w:rFonts w:hint="eastAsia" w:ascii="宋体" w:hAnsi="宋体"/>
                <w:color w:val="000000"/>
                <w:sz w:val="21"/>
                <w:szCs w:val="24"/>
                <w:lang w:val="en-US"/>
              </w:rPr>
            </w:pPr>
            <w:r>
              <w:rPr>
                <w:rFonts w:hint="eastAsia" w:ascii="宋体" w:hAnsi="宋体"/>
                <w:color w:val="000000"/>
                <w:sz w:val="21"/>
                <w:szCs w:val="24"/>
                <w:lang w:val="en-US" w:eastAsia="zh-CN"/>
              </w:rPr>
              <w:t>4.</w:t>
            </w:r>
            <w:r>
              <w:rPr>
                <w:rFonts w:hint="eastAsia" w:ascii="宋体" w:hAnsi="宋体"/>
                <w:color w:val="000000"/>
                <w:sz w:val="21"/>
                <w:szCs w:val="24"/>
                <w:lang w:val="en-US"/>
              </w:rPr>
              <w:t xml:space="preserve">挥发性：无挥发； </w:t>
            </w:r>
          </w:p>
          <w:p>
            <w:pPr>
              <w:numPr>
                <w:ilvl w:val="0"/>
                <w:numId w:val="0"/>
              </w:numPr>
              <w:autoSpaceDE w:val="0"/>
              <w:autoSpaceDN w:val="0"/>
              <w:adjustRightInd w:val="0"/>
              <w:ind w:left="105" w:leftChars="0"/>
              <w:jc w:val="left"/>
              <w:rPr>
                <w:rFonts w:hint="eastAsia" w:ascii="宋体" w:hAnsi="宋体"/>
                <w:color w:val="000000"/>
                <w:sz w:val="21"/>
                <w:szCs w:val="24"/>
                <w:lang w:val="en-US"/>
              </w:rPr>
            </w:pPr>
            <w:r>
              <w:rPr>
                <w:rFonts w:hint="eastAsia" w:ascii="宋体" w:hAnsi="宋体"/>
                <w:color w:val="000000"/>
                <w:sz w:val="21"/>
                <w:szCs w:val="24"/>
                <w:lang w:val="en-US"/>
              </w:rPr>
              <w:t xml:space="preserve">5.溶解性：水溶性； </w:t>
            </w:r>
          </w:p>
          <w:p>
            <w:pPr>
              <w:numPr>
                <w:ilvl w:val="0"/>
                <w:numId w:val="0"/>
              </w:numPr>
              <w:autoSpaceDE w:val="0"/>
              <w:autoSpaceDN w:val="0"/>
              <w:adjustRightInd w:val="0"/>
              <w:ind w:left="105" w:leftChars="0"/>
              <w:jc w:val="left"/>
              <w:rPr>
                <w:rFonts w:hint="eastAsia" w:ascii="宋体" w:hAnsi="宋体"/>
                <w:color w:val="000000"/>
                <w:sz w:val="21"/>
                <w:szCs w:val="24"/>
                <w:lang w:val="en-US"/>
              </w:rPr>
            </w:pPr>
            <w:r>
              <w:rPr>
                <w:rFonts w:hint="eastAsia" w:ascii="宋体" w:hAnsi="宋体"/>
                <w:color w:val="000000"/>
                <w:sz w:val="21"/>
                <w:szCs w:val="24"/>
                <w:lang w:val="en-US"/>
              </w:rPr>
              <w:t xml:space="preserve">6.生物降解性：完全； 7.安全性：不燃烧，不爆炸，对金属、橡胶、木制品、塑料等无腐蚀； 8.凝点：常规产品≤-10℃。 </w:t>
            </w:r>
          </w:p>
          <w:p>
            <w:pPr>
              <w:numPr>
                <w:ilvl w:val="0"/>
                <w:numId w:val="0"/>
              </w:numPr>
              <w:autoSpaceDE w:val="0"/>
              <w:autoSpaceDN w:val="0"/>
              <w:adjustRightInd w:val="0"/>
              <w:ind w:left="105" w:leftChars="0"/>
              <w:jc w:val="left"/>
              <w:rPr>
                <w:rFonts w:ascii="宋体" w:cs="宋体"/>
                <w:color w:val="000000"/>
                <w:kern w:val="0"/>
                <w:szCs w:val="21"/>
                <w:lang w:val="zh-CN"/>
              </w:rPr>
            </w:pPr>
            <w:r>
              <w:rPr>
                <w:rFonts w:hint="eastAsia" w:ascii="宋体" w:hAnsi="宋体"/>
                <w:color w:val="000000"/>
                <w:sz w:val="21"/>
                <w:szCs w:val="24"/>
                <w:lang w:val="en-US"/>
              </w:rPr>
              <w:t>9.产品特点：产品为无色、无气味环保型生物标本保存液。</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 w:eastAsia="宋" w:cs="宋"/>
                <w:color w:val="000000"/>
                <w:kern w:val="0"/>
                <w:szCs w:val="21"/>
                <w:lang w:val="zh-CN"/>
              </w:rPr>
            </w:pPr>
            <w:r>
              <w:rPr>
                <w:rFonts w:hint="eastAsia" w:ascii="宋体" w:hAnsi="宋体"/>
                <w:color w:val="000000"/>
                <w:sz w:val="21"/>
                <w:szCs w:val="24"/>
                <w:lang w:val="en-US"/>
              </w:rPr>
              <w:t>该产品适用于人体、动物标本或组织的浸泡保存，由多种食品级原料和去离子水经过严格的生产工艺组成，防腐、防霉性能可靠。使长期保存的标本保持湿润、不收缩、不变形、颜色自然、组织柔韧、无不良刺激性气味，有效解决了以往甲醛溶液保存标本对使用人员造成的危害。</w:t>
            </w:r>
          </w:p>
        </w:tc>
        <w:tc>
          <w:tcPr>
            <w:tcW w:w="6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宋" w:eastAsia="宋" w:cs="宋"/>
                <w:color w:val="000000"/>
                <w:kern w:val="0"/>
                <w:szCs w:val="21"/>
                <w:lang w:val="en-US" w:eastAsia="zh-CN"/>
              </w:rPr>
            </w:pPr>
            <w:r>
              <w:rPr>
                <w:rFonts w:hint="eastAsia" w:ascii="宋" w:eastAsia="宋" w:cs="宋"/>
                <w:color w:val="000000"/>
                <w:kern w:val="0"/>
                <w:szCs w:val="21"/>
                <w:lang w:val="en-US" w:eastAsia="zh-CN"/>
              </w:rPr>
              <w:t>kg</w:t>
            </w:r>
          </w:p>
        </w:tc>
        <w:tc>
          <w:tcPr>
            <w:tcW w:w="9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宋" w:eastAsia="宋" w:cs="宋"/>
                <w:color w:val="000000"/>
                <w:kern w:val="0"/>
                <w:szCs w:val="21"/>
                <w:lang w:val="en-US" w:eastAsia="zh-CN"/>
              </w:rPr>
            </w:pPr>
            <w:r>
              <w:rPr>
                <w:rFonts w:hint="eastAsia" w:ascii="宋" w:eastAsia="宋" w:cs="宋"/>
                <w:color w:val="000000"/>
                <w:kern w:val="0"/>
                <w:szCs w:val="21"/>
                <w:lang w:val="en-US" w:eastAsia="zh-CN"/>
              </w:rPr>
              <w:t>26</w:t>
            </w:r>
          </w:p>
        </w:tc>
      </w:tr>
    </w:tbl>
    <w:p>
      <w:pPr>
        <w:pStyle w:val="12"/>
      </w:pPr>
      <w:bookmarkStart w:id="30" w:name="_GoBack"/>
      <w:bookmarkEnd w:id="30"/>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一、验收要求：</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（1）产品保证是包装完好，未使用过的。</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（2）送货单必须与产品同行。</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（3）送货单上的送货公司必须是供应商，且须使用采购人的送货单模板或包含采购人送货单模板的内容。</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（4）送货单上的产品信息（如产品包装信息等）、实物信息必须与采购计划通知单上的产品信息一致，即“三方信息一致”，信息清晰完整。</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二、货款结算方式及期限</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（1）采购人收到供应商出具的发票并完善所有的付款手续之日起三个月后的十日内向供应商支付全部货款，付款方式：银行转账。</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三、售后服务：</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(1)供应商在接到采购人售后通知后，须立即做出响应 (不得超过 2 小时)，供应商问题解决时间&lt;24 小时。供应商应就具体响应时间和质量保障做出书面承诺。</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(2)供应商应保证按投标文件的承诺提供良好的售后服务，有专人负责售后服务，按时供货，拥有完善的售后服务体系，提供保障措施。</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(3)供应商承担所供产品的“三包”及售后服务，若因为供应商提供的商品本身存在问题或质保期内的任何问题，采购人可无条件退货，供应商承担因产品质量问题引起的一切后果。</w:t>
      </w:r>
    </w:p>
    <w:p>
      <w:pPr>
        <w:spacing w:before="2" w:line="227" w:lineRule="auto"/>
        <w:ind w:left="40" w:firstLine="624" w:firstLineChars="20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lang w:val="en-US" w:eastAsia="zh-CN"/>
        </w:rPr>
        <w:t>5</w:t>
      </w:r>
      <w:r>
        <w:rPr>
          <w:rFonts w:hint="eastAsia" w:ascii="仿宋" w:hAnsi="仿宋" w:eastAsia="仿宋" w:cs="仿宋"/>
          <w:snapToGrid w:val="0"/>
          <w:spacing w:val="-1"/>
          <w:sz w:val="31"/>
          <w:szCs w:val="31"/>
        </w:rPr>
        <w:t>、技术、商务、服务要求响应表。</w:t>
      </w:r>
    </w:p>
    <w:p>
      <w:pPr>
        <w:pStyle w:val="12"/>
        <w:ind w:firstLine="616" w:firstLineChars="200"/>
        <w:rPr>
          <w:rFonts w:hint="default"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6</w:t>
      </w:r>
      <w:r>
        <w:rPr>
          <w:rFonts w:hint="eastAsia" w:ascii="仿宋" w:hAnsi="仿宋" w:eastAsia="仿宋" w:cs="仿宋"/>
          <w:snapToGrid w:val="0"/>
          <w:spacing w:val="-1"/>
          <w:sz w:val="31"/>
          <w:szCs w:val="31"/>
        </w:rPr>
        <w:t>、商务要求承诺函。</w:t>
      </w:r>
    </w:p>
    <w:p>
      <w:pPr>
        <w:pStyle w:val="12"/>
        <w:ind w:firstLine="476" w:firstLineChars="200"/>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w:t>
      </w:r>
      <w:r>
        <w:rPr>
          <w:rFonts w:hint="eastAsia" w:ascii="仿宋" w:hAnsi="仿宋" w:eastAsia="仿宋" w:cs="仿宋"/>
          <w:snapToGrid w:val="0"/>
          <w:spacing w:val="-1"/>
          <w:szCs w:val="24"/>
          <w:lang w:val="en-US" w:eastAsia="zh-CN"/>
        </w:rPr>
        <w:t xml:space="preserve">    </w:t>
      </w:r>
      <w:r>
        <w:rPr>
          <w:rFonts w:hint="eastAsia" w:ascii="仿宋" w:hAnsi="仿宋" w:eastAsia="仿宋" w:cs="仿宋"/>
          <w:snapToGrid w:val="0"/>
          <w:spacing w:val="-1"/>
          <w:szCs w:val="24"/>
        </w:rPr>
        <w:t>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有以下情形之一的，按无效投标处理：</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 响应文件组成内容不齐或相关证件证书资料过期。</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 响应文件提供虚假材料谋求成交的；</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 不按照要求发送响应文件邮件的；</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4、 不按时按要求参加比选活动的。</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5、 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 比选时间：另行通知</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 比选文件递交地点：绵阳市中心医院采购科邮箱：2242490135@qq.com</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 比选地点：另行通知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1、项目咨询：罗老师   13752927447</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2、报名咨询：尹老师   18081208357</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3、监督电话：杨老师   0816-</w:t>
      </w:r>
      <w:r>
        <w:rPr>
          <w:rFonts w:hint="eastAsia" w:ascii="仿宋" w:hAnsi="仿宋" w:eastAsia="仿宋" w:cs="仿宋"/>
          <w:spacing w:val="9"/>
          <w:sz w:val="31"/>
          <w:szCs w:val="31"/>
          <w:lang w:val="zh-CN" w:eastAsia="zh-CN"/>
        </w:rPr>
        <w:t>2237353</w:t>
      </w:r>
    </w:p>
    <w:p>
      <w:pPr>
        <w:spacing w:before="2" w:line="227" w:lineRule="auto"/>
        <w:ind w:left="40" w:firstLine="656" w:firstLineChars="200"/>
        <w:rPr>
          <w:rFonts w:hint="eastAsia" w:ascii="仿宋" w:hAnsi="仿宋" w:eastAsia="仿宋" w:cs="仿宋"/>
          <w:spacing w:val="9"/>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9"/>
          <w:sz w:val="31"/>
          <w:szCs w:val="31"/>
          <w:lang w:val="en-US" w:eastAsia="zh-CN"/>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w:t>
      </w:r>
      <w:r>
        <w:rPr>
          <w:rFonts w:hint="eastAsia" w:ascii="宋体" w:hAnsi="宋体" w:eastAsia="宋体" w:cs="宋体"/>
          <w:b/>
          <w:bCs/>
          <w:sz w:val="32"/>
          <w:szCs w:val="32"/>
          <w:lang w:eastAsia="zh-CN"/>
        </w:rPr>
        <w:t>四</w:t>
      </w:r>
      <w:r>
        <w:rPr>
          <w:rFonts w:hint="eastAsia" w:ascii="宋体" w:hAnsi="宋体" w:eastAsia="宋体" w:cs="宋体"/>
          <w:b/>
          <w:bCs/>
          <w:sz w:val="32"/>
          <w:szCs w:val="32"/>
        </w:rPr>
        <w:t>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482266098"/>
      <w:bookmarkStart w:id="2" w:name="_Toc13563815"/>
      <w:bookmarkStart w:id="3" w:name="_Toc87974341"/>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82266101"/>
      <w:bookmarkStart w:id="7" w:name="_Toc13563872"/>
      <w:bookmarkStart w:id="8" w:name="_Toc443397365"/>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13563879"/>
      <w:bookmarkStart w:id="18" w:name="_Toc479755777"/>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7367"/>
      <w:bookmarkStart w:id="26" w:name="_Toc11764042"/>
      <w:bookmarkStart w:id="27" w:name="_Toc443393358"/>
      <w:bookmarkStart w:id="28" w:name="_Toc482266104"/>
      <w:bookmarkStart w:id="29" w:name="_Toc13563883"/>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BCF784-72BC-4E5B-9F9D-43674E7BD8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29D3E370-7906-4E39-893F-8D972202492F}"/>
  </w:font>
  <w:font w:name="微软雅黑">
    <w:panose1 w:val="020B0503020204020204"/>
    <w:charset w:val="86"/>
    <w:family w:val="swiss"/>
    <w:pitch w:val="default"/>
    <w:sig w:usb0="80000287" w:usb1="2ACF3C50" w:usb2="00000016" w:usb3="00000000" w:csb0="0004001F" w:csb1="00000000"/>
    <w:embedRegular r:id="rId3" w:fontKey="{22210C7E-9B11-4A66-8A28-B32C39C39002}"/>
  </w:font>
  <w:font w:name="宋">
    <w:altName w:val="宋体"/>
    <w:panose1 w:val="00000000000000000000"/>
    <w:charset w:val="81"/>
    <w:family w:val="auto"/>
    <w:pitch w:val="default"/>
    <w:sig w:usb0="00000000" w:usb1="00000000" w:usb2="00000010" w:usb3="00000000" w:csb0="000C0000" w:csb1="00000000"/>
    <w:embedRegular r:id="rId4" w:fontKey="{1A8BE136-89C9-4B18-8D12-54CE7C68DDB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159B11C7"/>
    <w:rsid w:val="1E500961"/>
    <w:rsid w:val="1F127F89"/>
    <w:rsid w:val="201725C8"/>
    <w:rsid w:val="29276970"/>
    <w:rsid w:val="2CB63FA3"/>
    <w:rsid w:val="46237B65"/>
    <w:rsid w:val="4D3D691B"/>
    <w:rsid w:val="4F9D48D9"/>
    <w:rsid w:val="586430DB"/>
    <w:rsid w:val="5C33726B"/>
    <w:rsid w:val="5FA20F00"/>
    <w:rsid w:val="6D5F3EFF"/>
    <w:rsid w:val="78482770"/>
    <w:rsid w:val="7B467BAA"/>
    <w:rsid w:val="7C173A56"/>
    <w:rsid w:val="7D542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next w:val="5"/>
    <w:autoRedefine/>
    <w:qFormat/>
    <w:uiPriority w:val="0"/>
    <w:pPr>
      <w:jc w:val="center"/>
    </w:pPr>
    <w:rPr>
      <w:rFonts w:eastAsia="黑体"/>
      <w:sz w:val="44"/>
    </w:rPr>
  </w:style>
  <w:style w:type="paragraph" w:styleId="5">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paragraph" w:styleId="6">
    <w:name w:val="footer"/>
    <w:basedOn w:val="1"/>
    <w:link w:val="17"/>
    <w:autoRedefine/>
    <w:qFormat/>
    <w:uiPriority w:val="0"/>
    <w:pPr>
      <w:tabs>
        <w:tab w:val="center" w:pos="4153"/>
        <w:tab w:val="right" w:pos="8306"/>
      </w:tabs>
    </w:pPr>
    <w:rPr>
      <w:sz w:val="18"/>
      <w:szCs w:val="18"/>
    </w:rPr>
  </w:style>
  <w:style w:type="paragraph" w:styleId="7">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8">
    <w:name w:val="Title"/>
    <w:basedOn w:val="1"/>
    <w:next w:val="1"/>
    <w:autoRedefine/>
    <w:qFormat/>
    <w:uiPriority w:val="10"/>
    <w:pPr>
      <w:spacing w:before="240" w:after="60"/>
      <w:jc w:val="center"/>
      <w:outlineLvl w:val="0"/>
    </w:pPr>
    <w:rPr>
      <w:rFonts w:ascii="Cambria" w:hAnsi="Cambria"/>
      <w:b/>
      <w:bCs/>
      <w:sz w:val="32"/>
      <w:szCs w:val="32"/>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7"/>
    <w:autoRedefine/>
    <w:qFormat/>
    <w:uiPriority w:val="0"/>
    <w:rPr>
      <w:rFonts w:ascii="Arial" w:hAnsi="Arial" w:eastAsia="Arial" w:cs="Arial"/>
      <w:snapToGrid w:val="0"/>
      <w:color w:val="000000"/>
      <w:sz w:val="18"/>
      <w:szCs w:val="18"/>
    </w:rPr>
  </w:style>
  <w:style w:type="character" w:customStyle="1" w:styleId="17">
    <w:name w:val="页脚 字符"/>
    <w:basedOn w:val="11"/>
    <w:link w:val="6"/>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34"/>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font21"/>
    <w:basedOn w:val="11"/>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5131</Words>
  <Characters>5426</Characters>
  <Lines>48</Lines>
  <Paragraphs>13</Paragraphs>
  <TotalTime>0</TotalTime>
  <ScaleCrop>false</ScaleCrop>
  <LinksUpToDate>false</LinksUpToDate>
  <CharactersWithSpaces>6321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2024-07-02T07:04:38Z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AF019F924DE34326BD3F354208A28EAA_13</vt:lpwstr>
  </property>
</Properties>
</file>