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项目名称：精子质量分析仪</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201号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院拟对内镜清洗工作站进行比选采购，欢迎能提供本货物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val="en-US" w:eastAsia="zh-CN"/>
        </w:rPr>
        <w:t>1套内镜清洗工作站</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rPr>
          <w:rFonts w:hint="eastAsia" w:ascii="仿宋" w:hAnsi="仿宋" w:eastAsia="仿宋" w:cs="仿宋"/>
          <w:snapToGrid w:val="0"/>
          <w:color w:val="000000"/>
          <w:spacing w:val="8"/>
          <w:kern w:val="0"/>
          <w:sz w:val="31"/>
          <w:szCs w:val="31"/>
          <w:lang w:val="en-US" w:eastAsia="zh-CN" w:bidi="ar-SA"/>
        </w:rPr>
      </w:pPr>
      <w:bookmarkStart w:id="30" w:name="_GoBack"/>
      <w:r>
        <w:rPr>
          <w:rFonts w:hint="eastAsia" w:ascii="仿宋" w:hAnsi="仿宋" w:eastAsia="仿宋" w:cs="仿宋"/>
          <w:snapToGrid w:val="0"/>
          <w:color w:val="000000"/>
          <w:spacing w:val="8"/>
          <w:kern w:val="0"/>
          <w:sz w:val="31"/>
          <w:szCs w:val="31"/>
          <w:lang w:val="en-US" w:eastAsia="zh-CN" w:bidi="ar-SA"/>
        </w:rPr>
        <w:t>1、具备精子浓度、活力检测、精子形态分析和DNA碎片分析功能，具备质控功能。</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2、全自动扫描分析，从放置样本开始，自动调焦、自动扫描、自动分析，无需人工操作。</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3、带多片装载物台，可一次扫描分析≥4张玻片。</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4、测量结果导出功能：可自动导出每条精子浓度与活力检测、形态学分析和DNA碎片分析的测量结果。</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5、统计功能：自动统计某一时间、年龄段、同一病人多次检测的数据，支持多参数查询统计，数据经过统计学处理可导出。</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6、采集系统和分析软件独立运行，审核分析结果时，可同时进行下一个标本的检测。</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7、支持扫码，病人信息自动录入，硬件和软件支持接入医院HIS/LIS系统。</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精子浓度和活力分析软件</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8、具有尾部识别功能，可识别过滤精液中的杂质、凝集区域及大片气泡等，精子抓捕率大于95%。</w:t>
      </w:r>
    </w:p>
    <w:p>
      <w:pPr>
        <w:autoSpaceDE w:val="0"/>
        <w:autoSpaceDN w:val="0"/>
        <w:adjustRightInd w:val="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9、高速动态捕捉和分析，帧率值实时显示，精子活动轨迹描绘更清晰、准确，可分析优化后的精子浓度和活力。</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10、能自动统计精子浓度与精子总数，各级活力精子的浓度与精子总数，精子运动参数的单精子值与平均值等检测与统计项目。</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11、可显示任意单条运动精子的直线、曲线和平均运动轨迹分析，并在每幅精子轨迹图上有≥3条彩色描述其运动轨迹和显示≥9个运动参数值。</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12、具备精子活力质控措施，可以实时记录和回放每个捕获视野的精子运动轨迹视频，具有浮动网格功能。</w:t>
      </w:r>
    </w:p>
    <w:p>
      <w:pPr>
        <w:autoSpaceDE w:val="0"/>
        <w:autoSpaceDN w:val="0"/>
        <w:adjustRightInd w:val="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13、具备识别和分析圆细胞、白细胞等非精子细胞浓度功能，并自动计算浓度。</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14、软件支持精子活力浓度视频录制，并进行保存。</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形态学分析软件</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15、按照WHO第6版标准操作程序规定的“严格标准”进行评估和分类，正常形态百分率采用4%的参考低值。</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16、支持巴氏、Shorr、Diff-quik等染色，每种染色设置不同的参数阈值。</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17、能识别正常形态精子及异常形态精子，识别符合率≥98%，头部形状判别符合率≥95%。</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18、准确分割精子的顶体，头部和中段，自动识别并分析头部缺陷、顶体缺陷、颈部和中段缺陷、尾部缺陷等形状分类。</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19、能独立显示任意单个染色精子的头部形态分析图和测量数据。每张精子形态图谱上都标有≤10μm的比例尺。</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20、自动统计TZI和SDI，对体内生育力以及体外受精评估提供临床参考。</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21、精子形态分割后的各部分支持颜色和边缘填充。</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22、能进行精子形态逐个分析的图像回放，并可以对精子头部、顶体和颈部的分析结果进行核对。</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23、快速审核功能，被仪器判断为正常的精子，集中到一个视野，提高审核速度。</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DNA碎片分析软件</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24、支持染色质扩散法（SCD）。</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25、能自动显示每个精子的晕轮面积、头部面积、单侧晕轮厚度、头部横径等详细参数结果，自动计算DFI。</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质量控制软件</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26、95%可信区间自动判别，均值出报告。</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27、月监测表、Xbar图、Sbar图、Youden图和Bland-Altman图自动生成功能和自动保存质控结果。</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28、两次检测精子数不足400条时，自动提示抽样误差大于5%。</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29、支持视频导入，用于活力质控。</w:t>
      </w:r>
    </w:p>
    <w:p>
      <w:pPr>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30、工作站：≥23寸1920×1080分辨率显示屏、≥16G内存、≥1T硬盘。</w:t>
      </w:r>
    </w:p>
    <w:p>
      <w:pPr>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31、相差显微镜配置：LED光源，10X、20X相差物镜、100X明场物镜，相差聚光镜。</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32、数字相机：最大分辨率≥2048x1536，最大帧频≥85，USB3接口。</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33、自动平台: 偏置式设计；X-Y-Z一体化， X轴最大行程≥110mm，Y轴最大行程≥50mm，X、Y轴移动精度≤0.2μm； Z轴最大行程≥10mm，Z轴移动精度≤0.1μm；初次对焦时间≤6.5s，每移动一个视野用时小于1s；浓度/活力检测和DNA碎片分析时，扫描每个标本用时少于30秒；形态学分析时，扫描每个标本用时少于90秒；配大面积恒温玻璃板，尺寸：≥130x75mm，温控范围36.5℃±0.5℃，温度精度≤0.1℃。</w:t>
      </w:r>
    </w:p>
    <w:p>
      <w:pPr>
        <w:autoSpaceDE w:val="0"/>
        <w:autoSpaceDN w:val="0"/>
        <w:adjustRightInd w:val="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34、提供微球悬浮液（质控珠），附靶值检测报告。</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35、配置：精子质量分析仪1台、工作站1套、相差显微镜1台、数字相机1个、自动平台1套、一次性精子承载片100人份、激光彩色打印机。</w:t>
      </w:r>
    </w:p>
    <w:bookmarkEnd w:id="30"/>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43397363"/>
      <w:bookmarkStart w:id="2" w:name="_Toc482266098"/>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443397367"/>
      <w:bookmarkStart w:id="27" w:name="_Toc482266104"/>
      <w:bookmarkStart w:id="28" w:name="_Toc11764042"/>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80664A-EB4D-44CE-8FA8-9F7281A0D2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DA18854-E505-436C-A3DA-6B0F3EAB9B0F}"/>
  </w:font>
  <w:font w:name="仿宋">
    <w:panose1 w:val="02010609060101010101"/>
    <w:charset w:val="86"/>
    <w:family w:val="modern"/>
    <w:pitch w:val="default"/>
    <w:sig w:usb0="800002BF" w:usb1="38CF7CFA" w:usb2="00000016" w:usb3="00000000" w:csb0="00040001" w:csb1="00000000"/>
    <w:embedRegular r:id="rId3" w:fontKey="{A05B09E7-6B32-4658-885F-C150130FC491}"/>
  </w:font>
  <w:font w:name="方正仿宋_GB2312">
    <w:panose1 w:val="02000000000000000000"/>
    <w:charset w:val="86"/>
    <w:family w:val="auto"/>
    <w:pitch w:val="default"/>
    <w:sig w:usb0="A00002BF" w:usb1="184F6CFA" w:usb2="00000012" w:usb3="00000000" w:csb0="00040001" w:csb1="00000000"/>
    <w:embedRegular r:id="rId4" w:fontKey="{8417E5EA-90CC-4FA2-A6A8-FCAE6FA66B4E}"/>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E500961"/>
    <w:rsid w:val="1E673CDB"/>
    <w:rsid w:val="201725C8"/>
    <w:rsid w:val="27BE209C"/>
    <w:rsid w:val="29276970"/>
    <w:rsid w:val="2CB63FA3"/>
    <w:rsid w:val="31132938"/>
    <w:rsid w:val="368F3A91"/>
    <w:rsid w:val="37190085"/>
    <w:rsid w:val="3E960A3C"/>
    <w:rsid w:val="3EA85573"/>
    <w:rsid w:val="40985C39"/>
    <w:rsid w:val="41657E7F"/>
    <w:rsid w:val="43375539"/>
    <w:rsid w:val="43B403C4"/>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5383</Words>
  <Characters>5630</Characters>
  <Lines>45</Lines>
  <Paragraphs>12</Paragraphs>
  <TotalTime>0</TotalTime>
  <ScaleCrop>false</ScaleCrop>
  <LinksUpToDate>false</LinksUpToDate>
  <CharactersWithSpaces>6772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2024-06-26T03:07:27Z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