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left="3726" w:leftChars="342" w:hanging="3008" w:hangingChars="800"/>
        <w:rPr>
          <w:rFonts w:hint="eastAsia" w:ascii="黑体" w:hAnsi="黑体" w:eastAsia="黑体" w:cs="黑体"/>
          <w:b/>
          <w:bCs/>
          <w:spacing w:val="7"/>
          <w:sz w:val="36"/>
          <w:szCs w:val="36"/>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8"/>
          <w:sz w:val="36"/>
          <w:szCs w:val="36"/>
          <w:lang w:eastAsia="zh-CN"/>
        </w:rPr>
        <w:t>：</w:t>
      </w:r>
      <w:r>
        <w:rPr>
          <w:rFonts w:hint="eastAsia" w:ascii="黑体" w:hAnsi="黑体" w:eastAsia="黑体" w:cs="黑体"/>
          <w:spacing w:val="7"/>
          <w:sz w:val="36"/>
          <w:szCs w:val="36"/>
          <w:lang w:val="en-US" w:eastAsia="zh-CN"/>
        </w:rPr>
        <w:t>中心静脉导管</w:t>
      </w:r>
    </w:p>
    <w:p>
      <w:pPr>
        <w:spacing w:line="245" w:lineRule="auto"/>
        <w:ind w:firstLine="748" w:firstLineChars="2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比选（2024）181号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bookmarkStart w:id="30" w:name="_GoBack"/>
      <w:bookmarkEnd w:id="30"/>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6</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拟对中心静脉导管</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2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5"/>
        <w:gridCol w:w="2345"/>
        <w:gridCol w:w="5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使用科室</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6"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麻醉科、普通外科、心胸外科</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中心静脉导管</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641"/>
        <w:gridCol w:w="3089"/>
        <w:gridCol w:w="3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麻醉科、普通外科、心胸外科</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中心静脉导管</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1、用于药液输注、中心静脉压力监测和血样采集;</w:t>
            </w:r>
          </w:p>
          <w:p>
            <w:pPr>
              <w:keepNext w:val="0"/>
              <w:keepLines w:val="0"/>
              <w:widowControl/>
              <w:numPr>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2、导管具有良好的弹性及柔软性;</w:t>
            </w:r>
          </w:p>
          <w:p>
            <w:pPr>
              <w:keepNext w:val="0"/>
              <w:keepLines w:val="0"/>
              <w:widowControl/>
              <w:numPr>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产品组件包括：中心静脉导管(配滑扣)、穿刺针、导丝、扩张器、一次性使用无菌注射器，一次性使用无菌注射针，移动夹、一次性无菌输液接头、无菌塑柄手术刀、一次性使用灭菌橡胶外科手套、消毒刷、纱布块、棉球（医用脱脂棉制品）、一次性医用中单、一次性无菌孔巾、带线缝合针、粘贴伤口敷料；</w:t>
            </w:r>
          </w:p>
          <w:p>
            <w:pPr>
              <w:keepNext w:val="0"/>
              <w:keepLines w:val="0"/>
              <w:widowControl/>
              <w:numPr>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4、规格：单腔、双腔、三腔。</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1、在《四川省药械集中采购及医药价格监管平台》价格联动挂网专区挂网的产品。2、可计费材料医保码在四川省医保局可查。3、需提供样品。</w:t>
            </w: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五、在《四川省药械集中采购及医药价格监管平台》价格联动挂网专区挂网的产品。</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六、可计费材料医保码在四川省医保局可查。</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七、需提供样品。</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w:t>
      </w:r>
    </w:p>
    <w:p>
      <w:pPr>
        <w:ind w:left="72" w:firstLine="308" w:firstLineChars="100"/>
        <w:outlineLvl w:val="0"/>
        <w:rPr>
          <w:rFonts w:ascii="仿宋" w:hAnsi="仿宋" w:eastAsia="仿宋" w:cs="仿宋"/>
          <w:sz w:val="31"/>
          <w:szCs w:val="31"/>
        </w:rPr>
      </w:pPr>
      <w:r>
        <w:rPr>
          <w:rFonts w:hint="eastAsia" w:ascii="仿宋" w:hAnsi="仿宋" w:eastAsia="仿宋" w:cs="仿宋"/>
          <w:snapToGrid w:val="0"/>
          <w:color w:val="000000"/>
          <w:spacing w:val="-1"/>
          <w:sz w:val="31"/>
          <w:szCs w:val="31"/>
          <w:lang w:val="en-US" w:eastAsia="zh-CN" w:bidi="ar-SA"/>
        </w:rPr>
        <w:t xml:space="preserve">   </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2、响应文件目录表</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5、报价函。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6、</w:t>
      </w:r>
      <w:r>
        <w:rPr>
          <w:rFonts w:hint="eastAsia" w:ascii="仿宋" w:hAnsi="仿宋" w:eastAsia="仿宋" w:cs="仿宋"/>
          <w:snapToGrid w:val="0"/>
          <w:color w:val="000000"/>
          <w:spacing w:val="-1"/>
          <w:kern w:val="0"/>
          <w:sz w:val="31"/>
          <w:szCs w:val="31"/>
          <w:lang w:val="en-US" w:eastAsia="zh-CN" w:bidi="ar-SA"/>
        </w:rPr>
        <w:t>产品的中华人民共和国医疗器械注册/备案凭证复印件。</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7、医疗器械生产许可证或者医疗器械经营许可/备案凭证复印件。</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8、产品的使用说明书、标签图片、实物图片、产品的合格证明文件（第三方检验报告、进口产品报关资料）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9、提供国内在用用户名单（可提供发票、合同、送货单等佐证资料）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10.全供应链合法授权。（产品制造厂家对投标产品的授权，或具有授权权限的代理商对投标产品的授权。且需提供该代理商具有有效授权权限的相关证明文件，证明文件能显示产品制造厂家对投标产品授权链条的完整性）</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pStyle w:val="5"/>
        <w:spacing w:before="80" w:line="221" w:lineRule="auto"/>
        <w:ind w:left="4155"/>
        <w:outlineLvl w:val="0"/>
        <w:rPr>
          <w:rFonts w:hint="eastAsia" w:ascii="宋体" w:hAnsi="宋体" w:eastAsia="宋体" w:cs="宋体"/>
          <w:spacing w:val="8"/>
          <w:sz w:val="21"/>
          <w:szCs w:val="21"/>
          <w:lang w:val="en-US" w:eastAsia="zh-CN"/>
        </w:rPr>
      </w:pPr>
    </w:p>
    <w:p>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43397363"/>
      <w:bookmarkStart w:id="1" w:name="_Toc11832062"/>
      <w:bookmarkStart w:id="2" w:name="_Toc13563815"/>
      <w:bookmarkStart w:id="3" w:name="_Toc87974341"/>
      <w:bookmarkStart w:id="4" w:name="_Toc482266098"/>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11764032"/>
      <w:bookmarkStart w:id="7" w:name="_Toc13563872"/>
      <w:bookmarkStart w:id="8" w:name="_Toc443397365"/>
      <w:bookmarkStart w:id="9" w:name="_Toc482266101"/>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1764036"/>
      <w:bookmarkStart w:id="11" w:name="_Toc1356387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1764038"/>
      <w:bookmarkStart w:id="15" w:name="_Toc1356387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1231749"/>
      <w:bookmarkStart w:id="17" w:name="_Toc479755777"/>
      <w:bookmarkStart w:id="18" w:name="_Toc13563879"/>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3563880"/>
      <w:bookmarkStart w:id="20" w:name="_Toc11764039"/>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3563882"/>
      <w:bookmarkStart w:id="24" w:name="_Toc11764041"/>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13563883"/>
      <w:bookmarkStart w:id="26" w:name="_Toc443393358"/>
      <w:bookmarkStart w:id="27" w:name="_Toc11764042"/>
      <w:bookmarkStart w:id="28" w:name="_Toc443397367"/>
      <w:bookmarkStart w:id="29" w:name="_Toc482266104"/>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D841220-98E0-4661-B591-BF2FA0B8C29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B5D5E198-D883-4412-8A76-D1072D946D8A}"/>
  </w:font>
  <w:font w:name="仿宋">
    <w:panose1 w:val="02010609060101010101"/>
    <w:charset w:val="86"/>
    <w:family w:val="modern"/>
    <w:pitch w:val="default"/>
    <w:sig w:usb0="800002BF" w:usb1="38CF7CFA" w:usb2="00000016" w:usb3="00000000" w:csb0="00040001" w:csb1="00000000"/>
    <w:embedRegular r:id="rId3" w:fontKey="{FE440DD5-FAF9-4923-9001-B7F37CD158D7}"/>
  </w:font>
  <w:font w:name="方正仿宋_GB2312">
    <w:panose1 w:val="02000000000000000000"/>
    <w:charset w:val="86"/>
    <w:family w:val="auto"/>
    <w:pitch w:val="default"/>
    <w:sig w:usb0="A00002BF" w:usb1="184F6CFA" w:usb2="00000012" w:usb3="00000000" w:csb0="00040001" w:csb1="00000000"/>
    <w:embedRegular r:id="rId4" w:fontKey="{E33BBDBB-8D52-4019-B4FF-55F5E12CF48E}"/>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55700DB"/>
    <w:rsid w:val="05AB288D"/>
    <w:rsid w:val="065C3B23"/>
    <w:rsid w:val="0681178F"/>
    <w:rsid w:val="069E428B"/>
    <w:rsid w:val="06D135CC"/>
    <w:rsid w:val="07510C8F"/>
    <w:rsid w:val="07A0053B"/>
    <w:rsid w:val="08A23260"/>
    <w:rsid w:val="092F48A0"/>
    <w:rsid w:val="098C0EB5"/>
    <w:rsid w:val="0D355B8A"/>
    <w:rsid w:val="0E404E0B"/>
    <w:rsid w:val="0F382BFB"/>
    <w:rsid w:val="0FDD4349"/>
    <w:rsid w:val="10E44043"/>
    <w:rsid w:val="144C3A93"/>
    <w:rsid w:val="15087877"/>
    <w:rsid w:val="151E215B"/>
    <w:rsid w:val="154C2C7E"/>
    <w:rsid w:val="158C17BA"/>
    <w:rsid w:val="16632ED0"/>
    <w:rsid w:val="1A116732"/>
    <w:rsid w:val="1A427CE5"/>
    <w:rsid w:val="1BBE376F"/>
    <w:rsid w:val="1D085BCA"/>
    <w:rsid w:val="1D5133A9"/>
    <w:rsid w:val="1E500961"/>
    <w:rsid w:val="1F882E2D"/>
    <w:rsid w:val="201725C8"/>
    <w:rsid w:val="202E11D8"/>
    <w:rsid w:val="253E4DA8"/>
    <w:rsid w:val="25810318"/>
    <w:rsid w:val="26ED7BDF"/>
    <w:rsid w:val="27BC5339"/>
    <w:rsid w:val="281F201A"/>
    <w:rsid w:val="29105305"/>
    <w:rsid w:val="29276970"/>
    <w:rsid w:val="2A230DAE"/>
    <w:rsid w:val="2C324391"/>
    <w:rsid w:val="2CB63FA3"/>
    <w:rsid w:val="2D974F5D"/>
    <w:rsid w:val="2EA22E91"/>
    <w:rsid w:val="2F4A6B22"/>
    <w:rsid w:val="30542857"/>
    <w:rsid w:val="308F5D57"/>
    <w:rsid w:val="31C24741"/>
    <w:rsid w:val="31CB10DD"/>
    <w:rsid w:val="327718A3"/>
    <w:rsid w:val="33666962"/>
    <w:rsid w:val="34B13221"/>
    <w:rsid w:val="37EA4F74"/>
    <w:rsid w:val="381D2D9D"/>
    <w:rsid w:val="3A0374CF"/>
    <w:rsid w:val="3A7B24CC"/>
    <w:rsid w:val="3BFA5791"/>
    <w:rsid w:val="3D2E2B76"/>
    <w:rsid w:val="3DBE72CA"/>
    <w:rsid w:val="3E4A5686"/>
    <w:rsid w:val="3EB968CD"/>
    <w:rsid w:val="42A81132"/>
    <w:rsid w:val="42DE69E9"/>
    <w:rsid w:val="42E47B00"/>
    <w:rsid w:val="44C666DF"/>
    <w:rsid w:val="45924771"/>
    <w:rsid w:val="45A560D2"/>
    <w:rsid w:val="46A00372"/>
    <w:rsid w:val="4A55439E"/>
    <w:rsid w:val="4A83608C"/>
    <w:rsid w:val="4B225634"/>
    <w:rsid w:val="4D69470F"/>
    <w:rsid w:val="4EAC2A32"/>
    <w:rsid w:val="4F285496"/>
    <w:rsid w:val="4F9D48D9"/>
    <w:rsid w:val="4FF30DED"/>
    <w:rsid w:val="50EA304C"/>
    <w:rsid w:val="51280932"/>
    <w:rsid w:val="52791DF4"/>
    <w:rsid w:val="535130ED"/>
    <w:rsid w:val="54E838DC"/>
    <w:rsid w:val="5500052E"/>
    <w:rsid w:val="558B6968"/>
    <w:rsid w:val="559010CF"/>
    <w:rsid w:val="563B4CFA"/>
    <w:rsid w:val="56567336"/>
    <w:rsid w:val="57922692"/>
    <w:rsid w:val="57E177FB"/>
    <w:rsid w:val="58553578"/>
    <w:rsid w:val="59DC7CB9"/>
    <w:rsid w:val="5C33726B"/>
    <w:rsid w:val="5E3729E9"/>
    <w:rsid w:val="611D7264"/>
    <w:rsid w:val="63D464D8"/>
    <w:rsid w:val="63E61C76"/>
    <w:rsid w:val="642B482A"/>
    <w:rsid w:val="660718F0"/>
    <w:rsid w:val="669C3468"/>
    <w:rsid w:val="66AE1C7D"/>
    <w:rsid w:val="67433876"/>
    <w:rsid w:val="69657A07"/>
    <w:rsid w:val="6B567508"/>
    <w:rsid w:val="6C8B53A2"/>
    <w:rsid w:val="6DBE5C63"/>
    <w:rsid w:val="6DED1766"/>
    <w:rsid w:val="6E391BE5"/>
    <w:rsid w:val="6EB14D27"/>
    <w:rsid w:val="72AA42B2"/>
    <w:rsid w:val="73C12E76"/>
    <w:rsid w:val="751869EF"/>
    <w:rsid w:val="76B344CD"/>
    <w:rsid w:val="7764686F"/>
    <w:rsid w:val="7CEE1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autoRedefine/>
    <w:qFormat/>
    <w:uiPriority w:val="0"/>
    <w:pPr>
      <w:jc w:val="center"/>
    </w:pPr>
    <w:rPr>
      <w:rFonts w:eastAsia="黑体"/>
      <w:sz w:val="44"/>
      <w:szCs w:val="21"/>
    </w:rPr>
  </w:style>
  <w:style w:type="paragraph" w:styleId="6">
    <w:name w:val="footer"/>
    <w:basedOn w:val="1"/>
    <w:link w:val="19"/>
    <w:autoRedefine/>
    <w:qFormat/>
    <w:uiPriority w:val="0"/>
    <w:pPr>
      <w:tabs>
        <w:tab w:val="center" w:pos="4153"/>
        <w:tab w:val="right" w:pos="8306"/>
      </w:tabs>
    </w:pPr>
    <w:rPr>
      <w:sz w:val="18"/>
      <w:szCs w:val="18"/>
    </w:rPr>
  </w:style>
  <w:style w:type="paragraph" w:styleId="7">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8">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Title"/>
    <w:basedOn w:val="1"/>
    <w:next w:val="1"/>
    <w:autoRedefine/>
    <w:qFormat/>
    <w:uiPriority w:val="10"/>
    <w:pPr>
      <w:spacing w:before="240" w:after="60"/>
      <w:jc w:val="center"/>
      <w:outlineLvl w:val="0"/>
    </w:pPr>
    <w:rPr>
      <w:rFonts w:ascii="Cambria" w:hAnsi="Cambria"/>
      <w:b/>
      <w:bCs/>
      <w:sz w:val="32"/>
      <w:szCs w:val="32"/>
    </w:rPr>
  </w:style>
  <w:style w:type="paragraph" w:styleId="10">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7"/>
    <w:autoRedefine/>
    <w:qFormat/>
    <w:uiPriority w:val="0"/>
    <w:rPr>
      <w:rFonts w:ascii="Arial" w:hAnsi="Arial" w:eastAsia="Arial" w:cs="Arial"/>
      <w:snapToGrid w:val="0"/>
      <w:color w:val="000000"/>
      <w:sz w:val="18"/>
      <w:szCs w:val="18"/>
    </w:rPr>
  </w:style>
  <w:style w:type="character" w:customStyle="1" w:styleId="19">
    <w:name w:val="页脚 字符"/>
    <w:basedOn w:val="13"/>
    <w:link w:val="6"/>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5251</Words>
  <Characters>6550</Characters>
  <Lines>11</Lines>
  <Paragraphs>3</Paragraphs>
  <TotalTime>2</TotalTime>
  <ScaleCrop>false</ScaleCrop>
  <LinksUpToDate>false</LinksUpToDate>
  <CharactersWithSpaces>7801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2024-06-13T08:39:02Z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15C437E64D38445F8B4EAB871CE04758_13</vt:lpwstr>
  </property>
</Properties>
</file>