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pPr>
        <w:spacing w:line="244"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ind w:firstLine="1504" w:firstLineChars="400"/>
        <w:rPr>
          <w:rFonts w:ascii="黑体" w:hAnsi="黑体" w:eastAsia="黑体" w:cs="黑体"/>
          <w:spacing w:val="8"/>
          <w:sz w:val="36"/>
          <w:szCs w:val="36"/>
        </w:rPr>
      </w:pPr>
    </w:p>
    <w:p>
      <w:pPr>
        <w:numPr>
          <w:ilvl w:val="0"/>
          <w:numId w:val="0"/>
        </w:numPr>
        <w:ind w:firstLine="1504" w:firstLineChars="400"/>
        <w:rPr>
          <w:rFonts w:hint="eastAsia" w:ascii="黑体" w:hAnsi="黑体" w:eastAsia="黑体" w:cs="黑体"/>
          <w:spacing w:val="8"/>
          <w:sz w:val="36"/>
          <w:szCs w:val="36"/>
          <w:lang w:val="en-US" w:eastAsia="zh-CN"/>
        </w:rPr>
      </w:pPr>
      <w:r>
        <w:rPr>
          <w:rFonts w:hint="eastAsia" w:ascii="黑体" w:hAnsi="黑体" w:eastAsia="黑体" w:cs="黑体"/>
          <w:spacing w:val="8"/>
          <w:sz w:val="36"/>
          <w:szCs w:val="36"/>
        </w:rPr>
        <w:t>项目名称：手术室业务区改造工程造价咨询服务</w:t>
      </w:r>
    </w:p>
    <w:p>
      <w:pPr>
        <w:spacing w:line="245" w:lineRule="auto"/>
        <w:ind w:firstLine="1496" w:firstLineChars="400"/>
        <w:rPr>
          <w:rFonts w:hint="eastAsia" w:ascii="黑体" w:hAnsi="黑体" w:eastAsia="黑体" w:cs="黑体"/>
          <w:spacing w:val="7"/>
          <w:sz w:val="36"/>
          <w:szCs w:val="36"/>
        </w:rPr>
      </w:pPr>
    </w:p>
    <w:p>
      <w:pPr>
        <w:spacing w:line="245" w:lineRule="auto"/>
        <w:ind w:firstLine="1496" w:firstLineChars="400"/>
        <w:rPr>
          <w:rFonts w:eastAsia="黑体"/>
          <w:sz w:val="36"/>
          <w:szCs w:val="36"/>
        </w:rPr>
      </w:pPr>
      <w:r>
        <w:rPr>
          <w:rFonts w:hint="eastAsia" w:ascii="黑体" w:hAnsi="黑体" w:eastAsia="黑体" w:cs="黑体"/>
          <w:spacing w:val="7"/>
          <w:sz w:val="36"/>
          <w:szCs w:val="36"/>
        </w:rPr>
        <w:t>项目编号：MYCH比选（202</w:t>
      </w:r>
      <w:r>
        <w:rPr>
          <w:rFonts w:hint="eastAsia" w:ascii="黑体" w:hAnsi="黑体" w:eastAsia="黑体" w:cs="黑体"/>
          <w:spacing w:val="7"/>
          <w:sz w:val="36"/>
          <w:szCs w:val="36"/>
          <w:lang w:val="en-US" w:eastAsia="zh-CN"/>
        </w:rPr>
        <w:t>4</w:t>
      </w:r>
      <w:r>
        <w:rPr>
          <w:rFonts w:hint="eastAsia" w:ascii="黑体" w:hAnsi="黑体" w:eastAsia="黑体" w:cs="黑体"/>
          <w:spacing w:val="7"/>
          <w:sz w:val="36"/>
          <w:szCs w:val="36"/>
        </w:rPr>
        <w:t>）</w:t>
      </w:r>
      <w:r>
        <w:rPr>
          <w:rFonts w:hint="eastAsia" w:ascii="黑体" w:hAnsi="黑体" w:eastAsia="黑体" w:cs="黑体"/>
          <w:spacing w:val="7"/>
          <w:sz w:val="36"/>
          <w:szCs w:val="36"/>
          <w:lang w:val="en-US" w:eastAsia="zh-CN"/>
        </w:rPr>
        <w:t>137</w:t>
      </w:r>
      <w:r>
        <w:rPr>
          <w:rFonts w:hint="eastAsia" w:ascii="黑体" w:hAnsi="黑体" w:eastAsia="黑体" w:cs="黑体"/>
          <w:spacing w:val="7"/>
          <w:sz w:val="36"/>
          <w:szCs w:val="36"/>
        </w:rPr>
        <w:t>号</w:t>
      </w: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5</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pPr>
        <w:sectPr>
          <w:pgSz w:w="11906" w:h="16839"/>
          <w:pgMar w:top="1431" w:right="1785" w:bottom="0" w:left="1785" w:header="0" w:footer="0" w:gutter="0"/>
          <w:cols w:space="720" w:num="1"/>
        </w:sectPr>
      </w:pPr>
    </w:p>
    <w:p>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pPr>
        <w:numPr>
          <w:ilvl w:val="0"/>
          <w:numId w:val="0"/>
        </w:numPr>
        <w:ind w:firstLine="640" w:firstLineChars="200"/>
        <w:rPr>
          <w:rFonts w:ascii="仿宋" w:hAnsi="仿宋" w:eastAsia="仿宋" w:cs="仿宋"/>
          <w:sz w:val="31"/>
          <w:szCs w:val="31"/>
        </w:rPr>
      </w:pPr>
      <w:r>
        <w:rPr>
          <w:rFonts w:hint="eastAsia" w:ascii="仿宋" w:hAnsi="仿宋" w:eastAsia="仿宋" w:cs="仿宋"/>
          <w:spacing w:val="5"/>
          <w:sz w:val="31"/>
          <w:szCs w:val="31"/>
        </w:rPr>
        <w:t>绵阳市中心</w:t>
      </w:r>
      <w:r>
        <w:rPr>
          <w:rFonts w:ascii="仿宋" w:hAnsi="仿宋" w:eastAsia="仿宋" w:cs="仿宋"/>
          <w:spacing w:val="5"/>
          <w:sz w:val="31"/>
          <w:szCs w:val="31"/>
        </w:rPr>
        <w:t>医</w:t>
      </w:r>
      <w:r>
        <w:rPr>
          <w:rFonts w:hint="eastAsia" w:ascii="仿宋" w:hAnsi="仿宋" w:eastAsia="仿宋" w:cs="仿宋"/>
          <w:spacing w:val="5"/>
          <w:sz w:val="31"/>
          <w:szCs w:val="31"/>
        </w:rPr>
        <w:t>院拟对</w:t>
      </w:r>
      <w:r>
        <w:rPr>
          <w:rFonts w:hint="eastAsia" w:ascii="仿宋" w:hAnsi="仿宋" w:eastAsia="仿宋" w:cs="仿宋"/>
          <w:spacing w:val="5"/>
          <w:sz w:val="31"/>
          <w:szCs w:val="31"/>
          <w:u w:val="single"/>
        </w:rPr>
        <w:t xml:space="preserve"> </w:t>
      </w:r>
      <w:r>
        <w:rPr>
          <w:rFonts w:hint="eastAsia" w:ascii="仿宋" w:hAnsi="仿宋" w:eastAsia="仿宋" w:cs="仿宋"/>
          <w:spacing w:val="5"/>
          <w:sz w:val="31"/>
          <w:szCs w:val="31"/>
        </w:rPr>
        <w:t>手术室业务区改造工程造价咨询服务</w:t>
      </w:r>
      <w:r>
        <w:rPr>
          <w:rFonts w:ascii="仿宋" w:hAnsi="仿宋" w:eastAsia="仿宋" w:cs="仿宋"/>
          <w:spacing w:val="5"/>
          <w:sz w:val="31"/>
          <w:szCs w:val="31"/>
          <w:u w:val="single"/>
        </w:rPr>
        <w:t xml:space="preserve">  </w:t>
      </w:r>
      <w:r>
        <w:rPr>
          <w:rFonts w:ascii="仿宋" w:hAnsi="仿宋" w:eastAsia="仿宋" w:cs="仿宋"/>
          <w:spacing w:val="5"/>
          <w:sz w:val="31"/>
          <w:szCs w:val="31"/>
        </w:rPr>
        <w:t>进行</w:t>
      </w:r>
      <w:r>
        <w:rPr>
          <w:rFonts w:ascii="仿宋" w:hAnsi="仿宋" w:eastAsia="仿宋" w:cs="仿宋"/>
          <w:spacing w:val="8"/>
          <w:sz w:val="31"/>
          <w:szCs w:val="31"/>
        </w:rPr>
        <w:t>比选</w:t>
      </w:r>
      <w:r>
        <w:rPr>
          <w:rFonts w:hint="eastAsia" w:ascii="仿宋" w:hAnsi="仿宋" w:eastAsia="仿宋" w:cs="仿宋"/>
          <w:spacing w:val="8"/>
          <w:sz w:val="31"/>
          <w:szCs w:val="31"/>
        </w:rPr>
        <w:t>采购</w:t>
      </w:r>
      <w:r>
        <w:rPr>
          <w:rFonts w:ascii="仿宋" w:hAnsi="仿宋" w:eastAsia="仿宋" w:cs="仿宋"/>
          <w:spacing w:val="8"/>
          <w:sz w:val="31"/>
          <w:szCs w:val="31"/>
        </w:rPr>
        <w:t>，欢迎</w:t>
      </w:r>
      <w:r>
        <w:rPr>
          <w:rFonts w:hint="eastAsia" w:ascii="仿宋" w:hAnsi="仿宋" w:eastAsia="仿宋" w:cs="仿宋"/>
          <w:spacing w:val="8"/>
          <w:sz w:val="31"/>
          <w:szCs w:val="31"/>
        </w:rPr>
        <w:t>能提供本货物和服务的供应商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pPr>
        <w:pStyle w:val="18"/>
        <w:numPr>
          <w:ilvl w:val="0"/>
          <w:numId w:val="1"/>
        </w:numPr>
        <w:spacing w:before="1" w:line="292" w:lineRule="auto"/>
        <w:ind w:right="5111" w:firstLineChars="0"/>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p>
    <w:p>
      <w:pPr>
        <w:numPr>
          <w:ilvl w:val="0"/>
          <w:numId w:val="0"/>
        </w:numPr>
        <w:ind w:firstLine="652" w:firstLineChars="200"/>
        <w:rPr>
          <w:rFonts w:hint="eastAsia" w:ascii="仿宋" w:hAnsi="仿宋" w:eastAsia="仿宋" w:cs="仿宋"/>
          <w:spacing w:val="8"/>
          <w:sz w:val="31"/>
          <w:szCs w:val="31"/>
        </w:rPr>
      </w:pPr>
      <w:r>
        <w:rPr>
          <w:rFonts w:hint="eastAsia" w:ascii="仿宋" w:hAnsi="仿宋" w:eastAsia="仿宋" w:cs="仿宋"/>
          <w:spacing w:val="8"/>
          <w:sz w:val="31"/>
          <w:szCs w:val="31"/>
        </w:rPr>
        <w:t>本次改造内容涉及到新增洁净手术间、麻醉复苏室、手术室休息区的装饰装修、暖通、消防、给排水、强弱电、医用气体管道敷设、信息化设备安装等专业施工。工程概算约400万元，造价咨询服务涉及工程量清单的编制、工程全过程跟踪审计、工程变更审核等方面。</w:t>
      </w:r>
    </w:p>
    <w:p>
      <w:pPr>
        <w:spacing w:before="215" w:line="230" w:lineRule="auto"/>
        <w:ind w:left="44"/>
        <w:rPr>
          <w:rFonts w:ascii="仿宋" w:hAnsi="仿宋" w:eastAsia="仿宋" w:cs="仿宋"/>
          <w:sz w:val="31"/>
          <w:szCs w:val="31"/>
        </w:rPr>
      </w:pP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rPr>
        <w:t>（一）供应商资格条件要求</w:t>
      </w:r>
    </w:p>
    <w:p>
      <w:pPr>
        <w:pStyle w:val="19"/>
        <w:ind w:firstLine="652" w:firstLineChars="200"/>
        <w:jc w:val="left"/>
        <w:rPr>
          <w:rFonts w:ascii="仿宋" w:hAnsi="仿宋" w:eastAsia="仿宋" w:cs="仿宋"/>
          <w:snapToGrid w:val="0"/>
          <w:color w:val="000000"/>
          <w:spacing w:val="8"/>
          <w:kern w:val="0"/>
          <w:sz w:val="31"/>
          <w:szCs w:val="31"/>
        </w:rPr>
      </w:pPr>
      <w:r>
        <w:rPr>
          <w:rFonts w:hint="eastAsia" w:ascii="仿宋" w:hAnsi="仿宋" w:eastAsia="仿宋" w:cs="仿宋"/>
          <w:snapToGrid w:val="0"/>
          <w:color w:val="000000"/>
          <w:spacing w:val="8"/>
          <w:kern w:val="0"/>
          <w:sz w:val="31"/>
          <w:szCs w:val="31"/>
        </w:rPr>
        <w:t>1、具有独立承担民事责任的能力。</w:t>
      </w:r>
    </w:p>
    <w:p>
      <w:pPr>
        <w:pStyle w:val="19"/>
        <w:ind w:firstLine="652" w:firstLineChars="200"/>
        <w:jc w:val="left"/>
        <w:rPr>
          <w:rFonts w:ascii="仿宋" w:hAnsi="仿宋" w:eastAsia="仿宋" w:cs="仿宋"/>
          <w:snapToGrid w:val="0"/>
          <w:color w:val="000000"/>
          <w:spacing w:val="8"/>
          <w:kern w:val="0"/>
          <w:sz w:val="31"/>
          <w:szCs w:val="31"/>
        </w:rPr>
      </w:pPr>
      <w:r>
        <w:rPr>
          <w:rFonts w:hint="eastAsia" w:ascii="仿宋" w:hAnsi="仿宋" w:eastAsia="仿宋" w:cs="仿宋"/>
          <w:snapToGrid w:val="0"/>
          <w:color w:val="000000"/>
          <w:spacing w:val="8"/>
          <w:kern w:val="0"/>
          <w:sz w:val="31"/>
          <w:szCs w:val="31"/>
        </w:rPr>
        <w:t>2、具有良好的商业信誉和健全的财务会计制度。</w:t>
      </w:r>
    </w:p>
    <w:p>
      <w:pPr>
        <w:pStyle w:val="19"/>
        <w:ind w:left="239" w:leftChars="114" w:firstLine="326" w:firstLineChars="100"/>
        <w:jc w:val="left"/>
        <w:rPr>
          <w:rFonts w:ascii="仿宋" w:hAnsi="仿宋" w:eastAsia="仿宋" w:cs="仿宋"/>
          <w:snapToGrid w:val="0"/>
          <w:color w:val="000000"/>
          <w:spacing w:val="8"/>
          <w:kern w:val="0"/>
          <w:sz w:val="31"/>
          <w:szCs w:val="31"/>
        </w:rPr>
      </w:pPr>
      <w:r>
        <w:rPr>
          <w:rFonts w:hint="eastAsia" w:ascii="仿宋" w:hAnsi="仿宋" w:eastAsia="仿宋" w:cs="仿宋"/>
          <w:snapToGrid w:val="0"/>
          <w:color w:val="000000"/>
          <w:spacing w:val="8"/>
          <w:kern w:val="0"/>
          <w:sz w:val="31"/>
          <w:szCs w:val="31"/>
        </w:rPr>
        <w:t>3、具有履行合同所必须的设备和专业技术能力。</w:t>
      </w:r>
    </w:p>
    <w:p>
      <w:pPr>
        <w:pStyle w:val="19"/>
        <w:ind w:left="239" w:leftChars="114" w:firstLine="326" w:firstLineChars="100"/>
        <w:jc w:val="left"/>
        <w:rPr>
          <w:rFonts w:ascii="仿宋" w:hAnsi="仿宋" w:eastAsia="仿宋" w:cs="仿宋"/>
          <w:snapToGrid w:val="0"/>
          <w:color w:val="000000"/>
          <w:spacing w:val="8"/>
          <w:kern w:val="0"/>
          <w:sz w:val="31"/>
          <w:szCs w:val="31"/>
        </w:rPr>
      </w:pPr>
      <w:r>
        <w:rPr>
          <w:rFonts w:hint="eastAsia" w:ascii="仿宋" w:hAnsi="仿宋" w:eastAsia="仿宋" w:cs="仿宋"/>
          <w:snapToGrid w:val="0"/>
          <w:color w:val="000000"/>
          <w:spacing w:val="8"/>
          <w:kern w:val="0"/>
          <w:sz w:val="31"/>
          <w:szCs w:val="31"/>
        </w:rPr>
        <w:t>4、有依法缴纳税收和社会保障资金的良好记录。</w:t>
      </w:r>
    </w:p>
    <w:p>
      <w:pPr>
        <w:pStyle w:val="19"/>
        <w:ind w:left="239" w:leftChars="114" w:firstLine="326" w:firstLineChars="100"/>
        <w:jc w:val="left"/>
        <w:rPr>
          <w:rFonts w:ascii="仿宋" w:hAnsi="仿宋" w:eastAsia="仿宋" w:cs="仿宋"/>
          <w:snapToGrid w:val="0"/>
          <w:color w:val="000000"/>
          <w:spacing w:val="8"/>
          <w:kern w:val="0"/>
          <w:sz w:val="31"/>
          <w:szCs w:val="31"/>
        </w:rPr>
      </w:pPr>
      <w:r>
        <w:rPr>
          <w:rFonts w:hint="eastAsia" w:ascii="仿宋" w:hAnsi="仿宋" w:eastAsia="仿宋" w:cs="仿宋"/>
          <w:snapToGrid w:val="0"/>
          <w:color w:val="000000"/>
          <w:spacing w:val="8"/>
          <w:kern w:val="0"/>
          <w:sz w:val="31"/>
          <w:szCs w:val="31"/>
        </w:rPr>
        <w:t>5、供应商参加本次政府采购活动前三年内，在经营活动中没有重大违法记录。</w:t>
      </w:r>
    </w:p>
    <w:p>
      <w:pPr>
        <w:pStyle w:val="19"/>
        <w:ind w:left="479" w:leftChars="228"/>
        <w:jc w:val="left"/>
        <w:rPr>
          <w:rFonts w:ascii="仿宋" w:hAnsi="仿宋" w:eastAsia="仿宋" w:cs="仿宋"/>
          <w:snapToGrid w:val="0"/>
          <w:color w:val="000000"/>
          <w:spacing w:val="8"/>
          <w:kern w:val="0"/>
          <w:sz w:val="31"/>
          <w:szCs w:val="31"/>
        </w:rPr>
      </w:pPr>
      <w:r>
        <w:rPr>
          <w:rFonts w:hint="eastAsia" w:ascii="仿宋" w:hAnsi="仿宋" w:eastAsia="仿宋" w:cs="仿宋"/>
          <w:snapToGrid w:val="0"/>
          <w:color w:val="000000"/>
          <w:spacing w:val="8"/>
          <w:kern w:val="0"/>
          <w:sz w:val="31"/>
          <w:szCs w:val="31"/>
        </w:rPr>
        <w:t>6、本项目参加政府采购活动的投标人、法定代表人(非法人负责人、自然人本人)在前3年内不得具有行贿犯罪记录。</w:t>
      </w:r>
    </w:p>
    <w:p>
      <w:pPr>
        <w:spacing w:before="218" w:line="357" w:lineRule="auto"/>
        <w:ind w:right="14" w:firstLine="652" w:firstLineChars="200"/>
        <w:rPr>
          <w:rFonts w:hint="eastAsia" w:ascii="仿宋" w:hAnsi="仿宋" w:eastAsia="仿宋" w:cs="仿宋"/>
          <w:spacing w:val="8"/>
          <w:sz w:val="31"/>
          <w:szCs w:val="31"/>
        </w:rPr>
      </w:pPr>
      <w:r>
        <w:rPr>
          <w:rFonts w:hint="eastAsia" w:ascii="仿宋" w:hAnsi="仿宋" w:eastAsia="仿宋" w:cs="仿宋"/>
          <w:spacing w:val="8"/>
          <w:sz w:val="31"/>
          <w:szCs w:val="31"/>
        </w:rPr>
        <w:t>7、法律、行政法规规定的其他条件。</w:t>
      </w:r>
    </w:p>
    <w:p>
      <w:pPr>
        <w:pStyle w:val="12"/>
        <w:rPr>
          <w:rFonts w:hint="default" w:eastAsia="仿宋"/>
          <w:lang w:val="en-US" w:eastAsia="zh-CN"/>
        </w:rPr>
      </w:pPr>
      <w:r>
        <w:rPr>
          <w:rFonts w:hint="eastAsia" w:ascii="仿宋" w:hAnsi="仿宋" w:eastAsia="仿宋" w:cs="仿宋"/>
          <w:spacing w:val="8"/>
          <w:sz w:val="31"/>
          <w:szCs w:val="31"/>
          <w:lang w:val="en-US" w:eastAsia="zh-CN"/>
        </w:rPr>
        <w:t xml:space="preserve">    8</w:t>
      </w:r>
      <w:r>
        <w:rPr>
          <w:rFonts w:hint="eastAsia" w:ascii="仿宋" w:hAnsi="仿宋" w:eastAsia="仿宋" w:cs="仿宋"/>
          <w:snapToGrid w:val="0"/>
          <w:color w:val="000000"/>
          <w:spacing w:val="8"/>
          <w:sz w:val="31"/>
          <w:szCs w:val="31"/>
          <w:lang w:val="en-US" w:eastAsia="zh-CN" w:bidi="ar-SA"/>
        </w:rPr>
        <w:t>、需提供营业执照，经营范围需标明具有相应工程造价咨询业务</w:t>
      </w:r>
    </w:p>
    <w:p>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rPr>
        <w:t>（二）</w:t>
      </w: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p>
      <w:pPr>
        <w:pStyle w:val="19"/>
        <w:rPr>
          <w:color w:val="auto"/>
        </w:rPr>
      </w:pPr>
      <w:r>
        <w:rPr>
          <w:rFonts w:hint="eastAsia"/>
          <w:color w:val="auto"/>
        </w:rPr>
        <w:t>技术参数：</w:t>
      </w:r>
    </w:p>
    <w:p>
      <w:pPr>
        <w:pStyle w:val="19"/>
        <w:rPr>
          <w:color w:val="auto"/>
        </w:rPr>
      </w:pPr>
      <w:r>
        <w:rPr>
          <w:rFonts w:hint="eastAsia"/>
          <w:color w:val="auto"/>
        </w:rPr>
        <w:t>工程造价咨询服务应参照住房城乡建设部和国家工商行政管理总局制定的《建设工程造价咨询合同（示范文本）》（GF-2015-0212），以及国家现行的法律法规、技术标准、行业规范等。服务工作应包括以下几个方面：</w:t>
      </w:r>
    </w:p>
    <w:p>
      <w:pPr>
        <w:ind w:firstLine="480" w:firstLineChars="200"/>
        <w:rPr>
          <w:kern w:val="0"/>
          <w:sz w:val="24"/>
          <w:szCs w:val="24"/>
        </w:rPr>
      </w:pPr>
      <w:r>
        <w:rPr>
          <w:rFonts w:hint="eastAsia"/>
          <w:kern w:val="0"/>
          <w:sz w:val="24"/>
          <w:szCs w:val="24"/>
        </w:rPr>
        <w:t>（1）工程量清单的编制；</w:t>
      </w:r>
    </w:p>
    <w:p>
      <w:pPr>
        <w:ind w:firstLine="480" w:firstLineChars="200"/>
        <w:rPr>
          <w:kern w:val="0"/>
          <w:sz w:val="24"/>
          <w:szCs w:val="24"/>
        </w:rPr>
      </w:pPr>
      <w:r>
        <w:rPr>
          <w:rFonts w:hint="eastAsia"/>
          <w:kern w:val="0"/>
          <w:sz w:val="24"/>
          <w:szCs w:val="24"/>
        </w:rPr>
        <w:t>（2）工程全过程跟踪审计；</w:t>
      </w:r>
    </w:p>
    <w:p>
      <w:pPr>
        <w:ind w:firstLine="480" w:firstLineChars="200"/>
        <w:rPr>
          <w:kern w:val="0"/>
          <w:sz w:val="24"/>
          <w:szCs w:val="24"/>
        </w:rPr>
      </w:pPr>
      <w:r>
        <w:rPr>
          <w:rFonts w:hint="eastAsia"/>
          <w:kern w:val="0"/>
          <w:sz w:val="24"/>
          <w:szCs w:val="24"/>
        </w:rPr>
        <w:t>（3）工程变更审核。</w:t>
      </w:r>
    </w:p>
    <w:p>
      <w:pPr>
        <w:pStyle w:val="19"/>
        <w:rPr>
          <w:color w:val="auto"/>
        </w:rPr>
      </w:pPr>
      <w:r>
        <w:rPr>
          <w:rFonts w:hint="eastAsia"/>
          <w:color w:val="auto"/>
        </w:rPr>
        <w:t>配置要求：</w:t>
      </w:r>
    </w:p>
    <w:p>
      <w:pPr>
        <w:pStyle w:val="19"/>
        <w:rPr>
          <w:color w:val="auto"/>
        </w:rPr>
      </w:pPr>
      <w:r>
        <w:rPr>
          <w:rFonts w:hint="eastAsia"/>
          <w:color w:val="auto"/>
        </w:rPr>
        <w:t>不低于2名造价员，1名一级注册造价师（需提供2024年近三个月人员单位社保证明）。</w:t>
      </w:r>
    </w:p>
    <w:p>
      <w:pPr>
        <w:pStyle w:val="19"/>
        <w:rPr>
          <w:color w:val="auto"/>
        </w:rPr>
      </w:pPr>
      <w:r>
        <w:rPr>
          <w:rFonts w:hint="eastAsia"/>
          <w:color w:val="auto"/>
        </w:rPr>
        <w:t>服务要求：</w:t>
      </w:r>
    </w:p>
    <w:p>
      <w:pPr>
        <w:pStyle w:val="19"/>
        <w:rPr>
          <w:color w:val="auto"/>
        </w:rPr>
      </w:pPr>
      <w:r>
        <w:rPr>
          <w:rFonts w:hint="eastAsia"/>
          <w:color w:val="auto"/>
        </w:rPr>
        <w:t>预算工程量清单编制（含招标控制价）服务内容包括：</w:t>
      </w:r>
    </w:p>
    <w:p>
      <w:pPr>
        <w:pStyle w:val="19"/>
        <w:rPr>
          <w:color w:val="auto"/>
        </w:rPr>
      </w:pPr>
      <w:r>
        <w:rPr>
          <w:rFonts w:hint="eastAsia"/>
          <w:color w:val="auto"/>
        </w:rPr>
        <w:t>1.清单编制要结合施工图设计文件和医院实际情况充分控制造价和选材，从适用性、经济性以及合理性来综合考虑。</w:t>
      </w:r>
    </w:p>
    <w:p>
      <w:pPr>
        <w:pStyle w:val="19"/>
        <w:rPr>
          <w:color w:val="auto"/>
        </w:rPr>
      </w:pPr>
      <w:r>
        <w:rPr>
          <w:rFonts w:hint="eastAsia"/>
          <w:color w:val="auto"/>
        </w:rPr>
        <w:t>2.全过程造价咨询服务内容包括：</w:t>
      </w:r>
    </w:p>
    <w:p>
      <w:pPr>
        <w:pStyle w:val="19"/>
        <w:rPr>
          <w:color w:val="auto"/>
        </w:rPr>
      </w:pPr>
      <w:r>
        <w:rPr>
          <w:rFonts w:hint="eastAsia"/>
          <w:color w:val="auto"/>
        </w:rPr>
        <w:t>（1）参加图纸会审，提出有利于工程造价控制及节约投资的建议；</w:t>
      </w:r>
    </w:p>
    <w:p>
      <w:pPr>
        <w:pStyle w:val="19"/>
        <w:rPr>
          <w:color w:val="auto"/>
        </w:rPr>
      </w:pPr>
      <w:r>
        <w:rPr>
          <w:rFonts w:hint="eastAsia"/>
          <w:color w:val="auto"/>
        </w:rPr>
        <w:t>（2）审查施工组织设计，提出有利于工程造价控制及节约投资的建议；</w:t>
      </w:r>
    </w:p>
    <w:p>
      <w:pPr>
        <w:pStyle w:val="19"/>
        <w:rPr>
          <w:color w:val="auto"/>
        </w:rPr>
      </w:pPr>
      <w:r>
        <w:rPr>
          <w:rFonts w:hint="eastAsia"/>
          <w:color w:val="auto"/>
        </w:rPr>
        <w:t>（3）工程计量支付，根据施工合同约定的时间和方法参与工程计量，负责按时审查并确认进度款支付额度，向建设单位提交进度款支付建议，经采购人认可后作为支付进度款的依据。</w:t>
      </w:r>
    </w:p>
    <w:p>
      <w:pPr>
        <w:pStyle w:val="19"/>
        <w:rPr>
          <w:color w:val="auto"/>
        </w:rPr>
      </w:pPr>
      <w:r>
        <w:rPr>
          <w:rFonts w:hint="eastAsia"/>
          <w:color w:val="auto"/>
        </w:rPr>
        <w:t>（4）向采购人提供工程所需材料、设备的市场价格信息，并通过性价比分析向采购人提供造价咨询意见。</w:t>
      </w:r>
    </w:p>
    <w:p>
      <w:pPr>
        <w:pStyle w:val="19"/>
        <w:rPr>
          <w:color w:val="auto"/>
        </w:rPr>
      </w:pPr>
      <w:r>
        <w:rPr>
          <w:rFonts w:hint="eastAsia"/>
          <w:color w:val="auto"/>
        </w:rPr>
        <w:t>（5）收集工程施工的有关资料，了解施工过程情况，协助采购人及时审核因设计变更、现场签证、洽商等发生的费用，计算因设计变更、采购人指令而产生的工程费用的增减，与承包单位核对合同外工程变更金额，在采购人最终确认后实施变更部分工程内容，保证采购人利益不受损害。对重大设计变更的多个待选方案进行成本测算，提供专业意见。</w:t>
      </w:r>
    </w:p>
    <w:p>
      <w:pPr>
        <w:pStyle w:val="19"/>
        <w:rPr>
          <w:color w:val="auto"/>
        </w:rPr>
      </w:pPr>
      <w:r>
        <w:rPr>
          <w:rFonts w:hint="eastAsia"/>
          <w:color w:val="auto"/>
        </w:rPr>
        <w:t>（6）向采购人提供索赔专业评估意见、估算书及反索赔咨询服务，以保证采购人在合同上的利益。</w:t>
      </w:r>
    </w:p>
    <w:p>
      <w:pPr>
        <w:pStyle w:val="19"/>
        <w:rPr>
          <w:color w:val="auto"/>
        </w:rPr>
      </w:pPr>
      <w:r>
        <w:rPr>
          <w:rFonts w:hint="eastAsia"/>
          <w:color w:val="auto"/>
        </w:rPr>
        <w:t>（7）就本项目工程承包合同及其他与造价控制相关问题，协助采购人对现场相关管理人员进行交底及培训，以利于在工程管理的各环节有效的控制工程造价。</w:t>
      </w:r>
    </w:p>
    <w:p>
      <w:pPr>
        <w:pStyle w:val="19"/>
        <w:rPr>
          <w:color w:val="auto"/>
        </w:rPr>
      </w:pPr>
      <w:r>
        <w:rPr>
          <w:rFonts w:hint="eastAsia"/>
          <w:color w:val="auto"/>
        </w:rPr>
        <w:t>3.根据采购人委托要求，依照国家的有关法律、法规和执业规范，独立负责地按照公开、公正、公平的原则，以事实为依据，客观、严格进行施工阶段全过程控制造价咨询，在规定的时间内出咨询报告，并自觉接受采购人的监督，严格管理和要求项目跟踪人员，确保项目施工阶段全过程控制造价咨询结论的公正性。</w:t>
      </w:r>
    </w:p>
    <w:p>
      <w:pPr>
        <w:spacing w:before="218" w:line="357" w:lineRule="auto"/>
        <w:ind w:left="37" w:right="14" w:firstLine="642"/>
        <w:rPr>
          <w:rFonts w:hint="eastAsia"/>
          <w:color w:val="auto"/>
        </w:rPr>
      </w:pPr>
      <w:r>
        <w:rPr>
          <w:rFonts w:hint="eastAsia"/>
          <w:color w:val="auto"/>
        </w:rPr>
        <w:t>4.在项目施工阶段全过程控制造价咨询结束后，中标人应认真收集整理有关原始资料和工作记录，并按照采购人的要求，向采购人移交有关资料，并提供后续支持服务，提供的资料应包括《工程计量与支付审核报吿》、《变更测算或签证、索赔审核报告》、全过程造价咨询意见或建议书、现场影像资料、《过程控制服务总结报告书》及全过程造价咨询档案资料等。</w:t>
      </w:r>
    </w:p>
    <w:p>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pPr>
        <w:pStyle w:val="19"/>
        <w:rPr>
          <w:color w:val="auto"/>
        </w:rPr>
      </w:pPr>
      <w:r>
        <w:rPr>
          <w:rFonts w:hint="eastAsia"/>
          <w:color w:val="auto"/>
        </w:rPr>
        <w:t>投标报价要求：</w:t>
      </w:r>
    </w:p>
    <w:p>
      <w:pPr>
        <w:pStyle w:val="19"/>
        <w:rPr>
          <w:color w:val="auto"/>
        </w:rPr>
      </w:pPr>
      <w:r>
        <w:rPr>
          <w:rFonts w:hint="eastAsia"/>
          <w:color w:val="auto"/>
        </w:rPr>
        <w:t>1、投标人应依据“根据(川价发[2008]141号文件《工程造价咨询服务收费标准》)取费标准”，(按工程竣工结算审定价为计费基数)并以差额累进计算后下浮</w:t>
      </w:r>
      <w:r>
        <w:t>2</w:t>
      </w:r>
      <w:r>
        <w:rPr>
          <w:rFonts w:hint="eastAsia"/>
        </w:rPr>
        <w:t>0</w:t>
      </w:r>
      <w:r>
        <w:t>%</w:t>
      </w:r>
      <w:r>
        <w:rPr>
          <w:rFonts w:hint="eastAsia"/>
        </w:rPr>
        <w:t>（不含</w:t>
      </w:r>
      <w:r>
        <w:t>2</w:t>
      </w:r>
      <w:r>
        <w:rPr>
          <w:rFonts w:hint="eastAsia"/>
        </w:rPr>
        <w:t>0</w:t>
      </w:r>
      <w:r>
        <w:t>%</w:t>
      </w:r>
      <w:r>
        <w:rPr>
          <w:rFonts w:hint="eastAsia"/>
        </w:rPr>
        <w:t>）作为最高限价。供应商报下浮率。下浮率为整数（如</w:t>
      </w:r>
      <w:r>
        <w:t>2</w:t>
      </w:r>
      <w:r>
        <w:rPr>
          <w:rFonts w:hint="eastAsia"/>
        </w:rPr>
        <w:t>1%，</w:t>
      </w:r>
      <w:r>
        <w:t>2</w:t>
      </w:r>
      <w:r>
        <w:rPr>
          <w:rFonts w:hint="eastAsia"/>
        </w:rPr>
        <w:t>2%，……）未超过20</w:t>
      </w:r>
      <w:r>
        <w:t>%</w:t>
      </w:r>
      <w:r>
        <w:rPr>
          <w:rFonts w:hint="eastAsia"/>
        </w:rPr>
        <w:t>的报价为无效投标。</w:t>
      </w:r>
    </w:p>
    <w:p>
      <w:pPr>
        <w:pStyle w:val="19"/>
        <w:rPr>
          <w:color w:val="auto"/>
        </w:rPr>
      </w:pPr>
      <w:r>
        <w:rPr>
          <w:rFonts w:hint="eastAsia"/>
          <w:color w:val="auto"/>
        </w:rPr>
        <w:t>2、报价时提供预算编制和全过程造价控制两个阶段的平均下浮率。评标时将采用平均下浮率进行比较，平均下浮率最低的为第一中标候选人。</w:t>
      </w:r>
    </w:p>
    <w:p>
      <w:pPr>
        <w:pStyle w:val="19"/>
        <w:rPr>
          <w:color w:val="auto"/>
        </w:rPr>
      </w:pPr>
      <w:r>
        <w:rPr>
          <w:rFonts w:hint="eastAsia"/>
          <w:color w:val="auto"/>
        </w:rPr>
        <w:t>3</w:t>
      </w:r>
      <w:r>
        <w:rPr>
          <w:rFonts w:hint="eastAsia"/>
        </w:rPr>
        <w:t>、项目最终结算时，若费用计算结果超过4.8万元，按4.8万元计算（最终合同金额不超过4.8万元）。</w:t>
      </w:r>
    </w:p>
    <w:p>
      <w:pPr>
        <w:pStyle w:val="19"/>
        <w:rPr>
          <w:color w:val="auto"/>
        </w:rPr>
      </w:pPr>
    </w:p>
    <w:p>
      <w:pPr>
        <w:pStyle w:val="19"/>
        <w:rPr>
          <w:color w:val="auto"/>
        </w:rPr>
      </w:pPr>
      <w:r>
        <w:rPr>
          <w:rFonts w:hint="eastAsia"/>
          <w:color w:val="auto"/>
        </w:rPr>
        <w:t>商务要求：</w:t>
      </w:r>
    </w:p>
    <w:p>
      <w:pPr>
        <w:pStyle w:val="19"/>
        <w:rPr>
          <w:color w:val="auto"/>
        </w:rPr>
      </w:pPr>
      <w:r>
        <w:rPr>
          <w:rFonts w:hint="eastAsia"/>
          <w:color w:val="auto"/>
        </w:rPr>
        <w:t>1、成交供应商需在3</w:t>
      </w:r>
      <w:r>
        <w:rPr>
          <w:color w:val="auto"/>
        </w:rPr>
        <w:t>0</w:t>
      </w:r>
      <w:r>
        <w:rPr>
          <w:rFonts w:hint="eastAsia"/>
          <w:color w:val="auto"/>
        </w:rPr>
        <w:t>日内与采购人签订合同。</w:t>
      </w:r>
    </w:p>
    <w:p>
      <w:pPr>
        <w:spacing w:line="360" w:lineRule="exact"/>
        <w:jc w:val="left"/>
        <w:rPr>
          <w:kern w:val="0"/>
          <w:sz w:val="24"/>
          <w:szCs w:val="24"/>
        </w:rPr>
      </w:pPr>
      <w:r>
        <w:rPr>
          <w:kern w:val="0"/>
          <w:sz w:val="24"/>
          <w:szCs w:val="24"/>
        </w:rPr>
        <w:t>2</w:t>
      </w:r>
      <w:r>
        <w:rPr>
          <w:rFonts w:hint="eastAsia"/>
          <w:kern w:val="0"/>
          <w:sz w:val="24"/>
          <w:szCs w:val="24"/>
        </w:rPr>
        <w:t>、工期要求：</w:t>
      </w:r>
      <w:r>
        <w:rPr>
          <w:kern w:val="0"/>
          <w:sz w:val="24"/>
          <w:szCs w:val="24"/>
        </w:rPr>
        <w:t>按医院要求</w:t>
      </w:r>
      <w:r>
        <w:rPr>
          <w:rFonts w:hint="eastAsia"/>
          <w:kern w:val="0"/>
          <w:sz w:val="24"/>
          <w:szCs w:val="24"/>
        </w:rPr>
        <w:t>，合同签订后</w:t>
      </w:r>
      <w:r>
        <w:rPr>
          <w:kern w:val="0"/>
          <w:sz w:val="24"/>
          <w:szCs w:val="24"/>
        </w:rPr>
        <w:t>30</w:t>
      </w:r>
      <w:r>
        <w:rPr>
          <w:rFonts w:hint="eastAsia"/>
          <w:kern w:val="0"/>
          <w:sz w:val="24"/>
          <w:szCs w:val="24"/>
        </w:rPr>
        <w:t>个工作日内完成工程量清单编制工作，并提供书面招标控制价报告。</w:t>
      </w:r>
    </w:p>
    <w:p>
      <w:pPr>
        <w:spacing w:line="360" w:lineRule="exact"/>
        <w:jc w:val="left"/>
        <w:rPr>
          <w:color w:val="FF0000"/>
          <w:kern w:val="0"/>
          <w:sz w:val="24"/>
          <w:szCs w:val="24"/>
        </w:rPr>
      </w:pPr>
      <w:r>
        <w:rPr>
          <w:rFonts w:hint="eastAsia"/>
          <w:color w:val="FF0000"/>
          <w:kern w:val="0"/>
          <w:sz w:val="24"/>
          <w:szCs w:val="24"/>
        </w:rPr>
        <w:t>3、</w:t>
      </w:r>
      <w:r>
        <w:rPr>
          <w:color w:val="FF0000"/>
          <w:kern w:val="0"/>
          <w:sz w:val="24"/>
          <w:szCs w:val="24"/>
        </w:rPr>
        <w:t>付款方式：</w:t>
      </w:r>
    </w:p>
    <w:p>
      <w:pPr>
        <w:spacing w:line="360" w:lineRule="exact"/>
        <w:jc w:val="left"/>
        <w:rPr>
          <w:color w:val="FF0000"/>
          <w:kern w:val="0"/>
          <w:sz w:val="24"/>
          <w:szCs w:val="24"/>
        </w:rPr>
      </w:pPr>
      <w:r>
        <w:rPr>
          <w:rFonts w:hint="eastAsia"/>
          <w:color w:val="FF0000"/>
          <w:kern w:val="0"/>
          <w:sz w:val="24"/>
          <w:szCs w:val="24"/>
        </w:rPr>
        <w:t>（1）本项目结算价格：最终结算价=国家造价咨询服务收费标准</w:t>
      </w:r>
      <w:r>
        <w:rPr>
          <w:rFonts w:hint="eastAsia" w:asciiTheme="minorEastAsia" w:hAnsiTheme="minorEastAsia"/>
          <w:color w:val="FF0000"/>
          <w:kern w:val="0"/>
          <w:sz w:val="24"/>
          <w:szCs w:val="24"/>
        </w:rPr>
        <w:t>×（1</w:t>
      </w:r>
      <w:r>
        <w:rPr>
          <w:rFonts w:asciiTheme="minorEastAsia" w:hAnsiTheme="minorEastAsia"/>
          <w:color w:val="FF0000"/>
          <w:kern w:val="0"/>
          <w:sz w:val="24"/>
          <w:szCs w:val="24"/>
        </w:rPr>
        <w:t>-</w:t>
      </w:r>
      <w:r>
        <w:rPr>
          <w:rFonts w:hint="eastAsia"/>
          <w:color w:val="FF0000"/>
          <w:kern w:val="0"/>
          <w:sz w:val="24"/>
          <w:szCs w:val="24"/>
        </w:rPr>
        <w:t>报价下浮率），若计算结果超过4.8万元，按4.8万元计算（最终合同金额不超过4.8万元）。</w:t>
      </w:r>
    </w:p>
    <w:p>
      <w:pPr>
        <w:spacing w:line="360" w:lineRule="exact"/>
        <w:jc w:val="left"/>
        <w:rPr>
          <w:color w:val="FF0000"/>
          <w:kern w:val="0"/>
          <w:sz w:val="24"/>
          <w:szCs w:val="24"/>
        </w:rPr>
      </w:pPr>
      <w:r>
        <w:rPr>
          <w:rFonts w:hint="eastAsia"/>
          <w:kern w:val="0"/>
          <w:sz w:val="24"/>
          <w:szCs w:val="24"/>
        </w:rPr>
        <w:t>（2）经采购人确认并提供书面招标控制价报告后</w:t>
      </w:r>
      <w:r>
        <w:rPr>
          <w:kern w:val="0"/>
          <w:sz w:val="24"/>
          <w:szCs w:val="24"/>
        </w:rPr>
        <w:t>10</w:t>
      </w:r>
      <w:r>
        <w:rPr>
          <w:rFonts w:hint="eastAsia"/>
          <w:kern w:val="0"/>
          <w:sz w:val="24"/>
          <w:szCs w:val="24"/>
        </w:rPr>
        <w:t>日内支付2万元服务费；剩余服务费待通过工程竣工验收合格后</w:t>
      </w:r>
      <w:r>
        <w:rPr>
          <w:kern w:val="0"/>
          <w:sz w:val="24"/>
          <w:szCs w:val="24"/>
        </w:rPr>
        <w:t>30</w:t>
      </w:r>
      <w:r>
        <w:rPr>
          <w:rFonts w:hint="eastAsia"/>
          <w:kern w:val="0"/>
          <w:sz w:val="24"/>
          <w:szCs w:val="24"/>
        </w:rPr>
        <w:t>天内一次性支付。</w:t>
      </w:r>
    </w:p>
    <w:p>
      <w:pPr>
        <w:ind w:left="72"/>
        <w:outlineLvl w:val="0"/>
        <w:rPr>
          <w:rFonts w:hint="eastAsia"/>
          <w:kern w:val="0"/>
          <w:sz w:val="24"/>
          <w:szCs w:val="24"/>
        </w:rPr>
      </w:pPr>
      <w:r>
        <w:rPr>
          <w:rFonts w:hint="eastAsia"/>
          <w:kern w:val="0"/>
          <w:sz w:val="24"/>
          <w:szCs w:val="24"/>
        </w:rPr>
        <w:t>4、本项目不允许联合体投标。</w:t>
      </w:r>
    </w:p>
    <w:p>
      <w:pPr>
        <w:ind w:left="72"/>
        <w:outlineLvl w:val="0"/>
        <w:rPr>
          <w:rFonts w:ascii="仿宋" w:hAnsi="仿宋" w:eastAsia="仿宋" w:cs="仿宋"/>
          <w:sz w:val="31"/>
          <w:szCs w:val="31"/>
        </w:rPr>
      </w:pPr>
      <w:bookmarkStart w:id="30" w:name="_GoBack"/>
      <w:bookmarkEnd w:id="30"/>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pPr>
        <w:pStyle w:val="12"/>
        <w:ind w:firstLine="616" w:firstLineChars="200"/>
        <w:rPr>
          <w:rFonts w:ascii="仿宋" w:hAnsi="仿宋" w:eastAsia="仿宋" w:cs="仿宋"/>
          <w:snapToGrid w:val="0"/>
          <w:spacing w:val="-1"/>
          <w:sz w:val="31"/>
          <w:szCs w:val="31"/>
        </w:rPr>
      </w:pPr>
      <w:r>
        <w:rPr>
          <w:rFonts w:hint="eastAsia" w:ascii="仿宋" w:hAnsi="仿宋" w:eastAsia="仿宋" w:cs="仿宋"/>
          <w:snapToGrid w:val="0"/>
          <w:spacing w:val="-1"/>
          <w:sz w:val="31"/>
          <w:szCs w:val="31"/>
        </w:rPr>
        <w:t>1、响应文件封面。</w:t>
      </w:r>
    </w:p>
    <w:p>
      <w:pPr>
        <w:pStyle w:val="12"/>
        <w:ind w:firstLine="616" w:firstLineChars="200"/>
        <w:rPr>
          <w:rFonts w:ascii="仿宋" w:hAnsi="仿宋" w:eastAsia="仿宋" w:cs="仿宋"/>
          <w:snapToGrid w:val="0"/>
          <w:spacing w:val="-1"/>
          <w:sz w:val="31"/>
          <w:szCs w:val="31"/>
        </w:rPr>
      </w:pPr>
      <w:r>
        <w:rPr>
          <w:rFonts w:hint="eastAsia" w:ascii="仿宋" w:hAnsi="仿宋" w:eastAsia="仿宋" w:cs="仿宋"/>
          <w:snapToGrid w:val="0"/>
          <w:spacing w:val="-1"/>
          <w:sz w:val="31"/>
          <w:szCs w:val="31"/>
        </w:rPr>
        <w:t>2、提供有效的《营业执照》、《税务登记证》、《组织机构代码证》或三证合一的《营业执照》。</w:t>
      </w:r>
    </w:p>
    <w:p>
      <w:pPr>
        <w:pStyle w:val="12"/>
        <w:ind w:firstLine="616" w:firstLineChars="200"/>
        <w:rPr>
          <w:rFonts w:ascii="仿宋" w:hAnsi="仿宋" w:eastAsia="仿宋" w:cs="仿宋"/>
          <w:snapToGrid w:val="0"/>
          <w:spacing w:val="-1"/>
          <w:sz w:val="31"/>
          <w:szCs w:val="31"/>
        </w:rPr>
      </w:pPr>
      <w:r>
        <w:rPr>
          <w:rFonts w:hint="eastAsia" w:ascii="仿宋" w:hAnsi="仿宋" w:eastAsia="仿宋" w:cs="仿宋"/>
          <w:snapToGrid w:val="0"/>
          <w:spacing w:val="-1"/>
          <w:sz w:val="31"/>
          <w:szCs w:val="31"/>
        </w:rPr>
        <w:t>3、法人的授权书、法人和授权代表身份证复印件。</w:t>
      </w:r>
    </w:p>
    <w:p>
      <w:pPr>
        <w:pStyle w:val="12"/>
        <w:ind w:firstLine="616" w:firstLineChars="200"/>
        <w:rPr>
          <w:rFonts w:ascii="仿宋" w:hAnsi="仿宋" w:eastAsia="仿宋" w:cs="仿宋"/>
          <w:snapToGrid w:val="0"/>
          <w:spacing w:val="-1"/>
          <w:sz w:val="31"/>
          <w:szCs w:val="31"/>
        </w:rPr>
      </w:pPr>
      <w:r>
        <w:rPr>
          <w:rFonts w:hint="eastAsia" w:ascii="仿宋" w:hAnsi="仿宋" w:eastAsia="仿宋" w:cs="仿宋"/>
          <w:snapToGrid w:val="0"/>
          <w:spacing w:val="-1"/>
          <w:sz w:val="31"/>
          <w:szCs w:val="31"/>
        </w:rPr>
        <w:t>4、报价函。</w:t>
      </w:r>
    </w:p>
    <w:p>
      <w:pPr>
        <w:pStyle w:val="12"/>
        <w:ind w:firstLine="616" w:firstLineChars="200"/>
        <w:rPr>
          <w:rFonts w:ascii="仿宋" w:hAnsi="仿宋" w:eastAsia="仿宋" w:cs="仿宋"/>
          <w:snapToGrid w:val="0"/>
          <w:spacing w:val="-1"/>
          <w:sz w:val="31"/>
          <w:szCs w:val="31"/>
        </w:rPr>
      </w:pPr>
      <w:r>
        <w:rPr>
          <w:rFonts w:hint="eastAsia" w:ascii="仿宋" w:hAnsi="仿宋" w:eastAsia="仿宋" w:cs="仿宋"/>
          <w:snapToGrid w:val="0"/>
          <w:spacing w:val="-1"/>
          <w:sz w:val="31"/>
          <w:szCs w:val="31"/>
        </w:rPr>
        <w:t>5、</w:t>
      </w:r>
      <w:r>
        <w:rPr>
          <w:rFonts w:hint="eastAsia" w:ascii="仿宋" w:hAnsi="仿宋" w:eastAsia="仿宋" w:cs="仿宋"/>
          <w:snapToGrid w:val="0"/>
          <w:spacing w:val="-1"/>
          <w:sz w:val="31"/>
          <w:szCs w:val="31"/>
          <w:lang w:eastAsia="zh-CN"/>
        </w:rPr>
        <w:t>服务方案</w:t>
      </w:r>
      <w:r>
        <w:rPr>
          <w:rFonts w:hint="eastAsia" w:ascii="仿宋" w:hAnsi="仿宋" w:eastAsia="仿宋" w:cs="仿宋"/>
          <w:snapToGrid w:val="0"/>
          <w:spacing w:val="-1"/>
          <w:sz w:val="31"/>
          <w:szCs w:val="31"/>
        </w:rPr>
        <w:t>。</w:t>
      </w:r>
    </w:p>
    <w:p>
      <w:pPr>
        <w:pStyle w:val="12"/>
        <w:ind w:firstLine="616" w:firstLineChars="200"/>
        <w:rPr>
          <w:rFonts w:ascii="仿宋" w:hAnsi="仿宋" w:eastAsia="仿宋" w:cs="仿宋"/>
          <w:snapToGrid w:val="0"/>
          <w:spacing w:val="-1"/>
          <w:sz w:val="31"/>
          <w:szCs w:val="31"/>
        </w:rPr>
      </w:pPr>
      <w:r>
        <w:rPr>
          <w:rFonts w:hint="eastAsia" w:ascii="仿宋" w:hAnsi="仿宋" w:eastAsia="仿宋" w:cs="仿宋"/>
          <w:snapToGrid w:val="0"/>
          <w:spacing w:val="-1"/>
          <w:sz w:val="31"/>
          <w:szCs w:val="31"/>
        </w:rPr>
        <w:t>6、技术、商务、服务要求响应表。</w:t>
      </w:r>
    </w:p>
    <w:p>
      <w:pPr>
        <w:pStyle w:val="12"/>
        <w:ind w:firstLine="616" w:firstLineChars="200"/>
        <w:rPr>
          <w:rFonts w:hint="eastAsia" w:ascii="仿宋" w:hAnsi="仿宋" w:eastAsia="仿宋" w:cs="仿宋"/>
          <w:snapToGrid w:val="0"/>
          <w:spacing w:val="-1"/>
          <w:sz w:val="31"/>
          <w:szCs w:val="31"/>
        </w:rPr>
      </w:pPr>
      <w:r>
        <w:rPr>
          <w:rFonts w:hint="eastAsia" w:ascii="仿宋" w:hAnsi="仿宋" w:eastAsia="仿宋" w:cs="仿宋"/>
          <w:snapToGrid w:val="0"/>
          <w:spacing w:val="-1"/>
          <w:sz w:val="31"/>
          <w:szCs w:val="31"/>
        </w:rPr>
        <w:t>7、商务要求承诺函。</w:t>
      </w:r>
    </w:p>
    <w:p>
      <w:pPr>
        <w:pStyle w:val="12"/>
        <w:ind w:firstLine="616" w:firstLineChars="200"/>
        <w:rPr>
          <w:rFonts w:hint="eastAsia" w:ascii="仿宋" w:hAnsi="仿宋" w:eastAsia="仿宋" w:cs="仿宋"/>
          <w:snapToGrid w:val="0"/>
          <w:spacing w:val="-1"/>
          <w:sz w:val="31"/>
          <w:szCs w:val="31"/>
          <w:lang w:val="en-US" w:eastAsia="zh-CN"/>
        </w:rPr>
      </w:pPr>
      <w:r>
        <w:rPr>
          <w:rFonts w:hint="eastAsia" w:ascii="仿宋" w:hAnsi="仿宋" w:eastAsia="仿宋" w:cs="仿宋"/>
          <w:snapToGrid w:val="0"/>
          <w:spacing w:val="-1"/>
          <w:sz w:val="31"/>
          <w:szCs w:val="31"/>
          <w:lang w:val="en-US" w:eastAsia="zh-CN"/>
        </w:rPr>
        <w:t>8、服务要求中要求提供的相关材料。</w:t>
      </w:r>
    </w:p>
    <w:p>
      <w:pPr>
        <w:pStyle w:val="12"/>
        <w:ind w:firstLine="616" w:firstLineChars="200"/>
        <w:rPr>
          <w:rFonts w:ascii="仿宋" w:hAnsi="仿宋" w:eastAsia="仿宋" w:cs="仿宋"/>
          <w:snapToGrid w:val="0"/>
          <w:spacing w:val="-1"/>
          <w:sz w:val="31"/>
          <w:szCs w:val="31"/>
        </w:rPr>
      </w:pPr>
    </w:p>
    <w:p>
      <w:pPr>
        <w:pStyle w:val="12"/>
        <w:rPr>
          <w:rFonts w:ascii="仿宋" w:hAnsi="仿宋" w:eastAsia="仿宋" w:cs="仿宋"/>
          <w:snapToGrid w:val="0"/>
          <w:spacing w:val="-1"/>
          <w:szCs w:val="24"/>
        </w:rPr>
      </w:pPr>
      <w:r>
        <w:rPr>
          <w:rFonts w:hint="eastAsia" w:ascii="仿宋" w:hAnsi="仿宋" w:eastAsia="仿宋" w:cs="仿宋"/>
          <w:snapToGrid w:val="0"/>
          <w:spacing w:val="-1"/>
          <w:szCs w:val="24"/>
        </w:rPr>
        <w:t>注：1.此文件中没有模板的条项，格式请供应商自拟。</w:t>
      </w:r>
    </w:p>
    <w:p>
      <w:pPr>
        <w:pStyle w:val="12"/>
        <w:rPr>
          <w:rFonts w:ascii="仿宋" w:hAnsi="仿宋" w:eastAsia="仿宋" w:cs="仿宋"/>
          <w:snapToGrid w:val="0"/>
          <w:spacing w:val="-1"/>
          <w:szCs w:val="24"/>
        </w:rPr>
      </w:pPr>
      <w:r>
        <w:rPr>
          <w:rFonts w:hint="eastAsia" w:ascii="仿宋" w:hAnsi="仿宋" w:eastAsia="仿宋" w:cs="仿宋"/>
          <w:snapToGrid w:val="0"/>
          <w:spacing w:val="-1"/>
          <w:szCs w:val="24"/>
        </w:rPr>
        <w:t xml:space="preserve">    2.每一页都需要加盖公章。</w:t>
      </w:r>
    </w:p>
    <w:p>
      <w:pPr>
        <w:spacing w:before="2" w:line="227" w:lineRule="auto"/>
        <w:rPr>
          <w:rFonts w:ascii="仿宋" w:hAnsi="仿宋" w:eastAsia="仿宋" w:cs="仿宋"/>
          <w:spacing w:val="9"/>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pPr>
        <w:spacing w:before="2" w:line="227" w:lineRule="auto"/>
        <w:ind w:left="40" w:firstLine="656" w:firstLineChars="200"/>
        <w:rPr>
          <w:rFonts w:ascii="仿宋" w:hAnsi="仿宋" w:eastAsia="仿宋" w:cs="仿宋"/>
          <w:spacing w:val="9"/>
          <w:sz w:val="31"/>
          <w:szCs w:val="31"/>
        </w:rPr>
      </w:pPr>
    </w:p>
    <w:p>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pPr>
        <w:spacing w:before="217" w:line="414" w:lineRule="exact"/>
        <w:ind w:left="672"/>
        <w:rPr>
          <w:rFonts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pPr>
        <w:rPr>
          <w:rFonts w:eastAsiaTheme="minorEastAsia"/>
        </w:rPr>
      </w:pPr>
    </w:p>
    <w:p>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绵阳市中心医院采购科邮箱：2242490135@qq.com</w:t>
      </w:r>
    </w:p>
    <w:p>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pPr>
        <w:rPr>
          <w:rFonts w:eastAsiaTheme="minorEastAsia"/>
        </w:rPr>
      </w:pPr>
    </w:p>
    <w:p>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pPr>
        <w:ind w:firstLine="326" w:firstLineChars="100"/>
        <w:rPr>
          <w:rFonts w:ascii="仿宋" w:hAnsi="仿宋" w:eastAsia="仿宋" w:cs="仿宋"/>
          <w:spacing w:val="8"/>
          <w:sz w:val="31"/>
          <w:szCs w:val="31"/>
        </w:rPr>
      </w:pPr>
      <w:r>
        <w:rPr>
          <w:rFonts w:hint="eastAsia" w:ascii="仿宋" w:hAnsi="仿宋" w:eastAsia="仿宋" w:cs="仿宋"/>
          <w:spacing w:val="8"/>
          <w:sz w:val="31"/>
          <w:szCs w:val="31"/>
        </w:rPr>
        <w:t>1、项目咨询</w:t>
      </w:r>
      <w:r>
        <w:rPr>
          <w:rFonts w:hint="eastAsia" w:ascii="仿宋" w:hAnsi="仿宋" w:eastAsia="仿宋" w:cs="仿宋"/>
          <w:spacing w:val="8"/>
          <w:sz w:val="31"/>
          <w:szCs w:val="31"/>
          <w:lang w:eastAsia="zh-CN"/>
        </w:rPr>
        <w:t>：魏</w:t>
      </w:r>
      <w:r>
        <w:rPr>
          <w:rFonts w:hint="eastAsia" w:ascii="仿宋" w:hAnsi="仿宋" w:eastAsia="仿宋" w:cs="仿宋"/>
          <w:spacing w:val="2"/>
          <w:sz w:val="31"/>
          <w:szCs w:val="31"/>
          <w:lang w:eastAsia="zh-CN"/>
        </w:rPr>
        <w:t>老师</w:t>
      </w:r>
      <w:r>
        <w:rPr>
          <w:rFonts w:hint="eastAsia" w:ascii="仿宋" w:hAnsi="仿宋" w:eastAsia="仿宋" w:cs="仿宋"/>
          <w:spacing w:val="2"/>
          <w:sz w:val="31"/>
          <w:szCs w:val="31"/>
          <w:lang w:val="en-US" w:eastAsia="zh-CN"/>
        </w:rPr>
        <w:t xml:space="preserve">   </w:t>
      </w:r>
      <w:r>
        <w:rPr>
          <w:rFonts w:hint="eastAsia" w:ascii="仿宋" w:hAnsi="仿宋" w:eastAsia="仿宋" w:cs="仿宋"/>
          <w:spacing w:val="2"/>
          <w:sz w:val="31"/>
          <w:szCs w:val="31"/>
          <w:lang w:eastAsia="zh-CN"/>
        </w:rPr>
        <w:t>0816-8761807</w:t>
      </w:r>
    </w:p>
    <w:p>
      <w:pPr>
        <w:ind w:firstLine="314" w:firstLineChars="100"/>
        <w:rPr>
          <w:rFonts w:ascii="仿宋" w:hAnsi="仿宋" w:eastAsia="仿宋" w:cs="仿宋"/>
          <w:spacing w:val="2"/>
          <w:sz w:val="31"/>
          <w:szCs w:val="31"/>
        </w:rPr>
      </w:pPr>
      <w:r>
        <w:rPr>
          <w:rFonts w:hint="eastAsia" w:ascii="仿宋" w:hAnsi="仿宋" w:eastAsia="仿宋" w:cs="仿宋"/>
          <w:spacing w:val="2"/>
          <w:sz w:val="31"/>
          <w:szCs w:val="31"/>
        </w:rPr>
        <w:t>2、报名咨询：尹老师    18081208357</w:t>
      </w:r>
    </w:p>
    <w:p>
      <w:pPr>
        <w:spacing w:before="211" w:line="229" w:lineRule="auto"/>
        <w:ind w:left="334"/>
        <w:rPr>
          <w:rFonts w:ascii="仿宋" w:hAnsi="仿宋" w:eastAsia="仿宋" w:cs="仿宋"/>
          <w:spacing w:val="2"/>
          <w:sz w:val="31"/>
          <w:szCs w:val="31"/>
        </w:rPr>
      </w:pPr>
      <w:r>
        <w:rPr>
          <w:rFonts w:hint="eastAsia" w:ascii="仿宋" w:hAnsi="仿宋" w:eastAsia="仿宋" w:cs="仿宋"/>
          <w:spacing w:val="2"/>
          <w:sz w:val="31"/>
          <w:szCs w:val="31"/>
        </w:rPr>
        <w:t>3、监督电话：杨老师    0816-</w:t>
      </w:r>
      <w:r>
        <w:rPr>
          <w:rFonts w:hint="eastAsia" w:ascii="仿宋" w:hAnsi="仿宋" w:eastAsia="仿宋" w:cs="仿宋"/>
          <w:spacing w:val="2"/>
          <w:sz w:val="31"/>
          <w:szCs w:val="31"/>
          <w:lang w:val="zh-CN"/>
        </w:rPr>
        <w:t>2237353</w:t>
      </w:r>
    </w:p>
    <w:p>
      <w:pPr>
        <w:spacing w:before="217" w:line="228" w:lineRule="auto"/>
        <w:ind w:left="348"/>
        <w:rPr>
          <w:rFonts w:ascii="仿宋" w:hAnsi="仿宋" w:eastAsia="仿宋" w:cs="仿宋"/>
          <w:spacing w:val="8"/>
          <w:sz w:val="31"/>
          <w:szCs w:val="31"/>
        </w:rPr>
        <w:sectPr>
          <w:pgSz w:w="11906" w:h="16839"/>
          <w:pgMar w:top="1431" w:right="1785" w:bottom="0" w:left="1785" w:header="0" w:footer="0" w:gutter="0"/>
          <w:cols w:space="720" w:num="1"/>
        </w:sectPr>
      </w:pPr>
      <w:r>
        <w:rPr>
          <w:rFonts w:hint="eastAsia" w:ascii="仿宋" w:hAnsi="仿宋" w:eastAsia="仿宋" w:cs="仿宋"/>
          <w:spacing w:val="8"/>
          <w:sz w:val="31"/>
          <w:szCs w:val="31"/>
        </w:rPr>
        <w:t>4、地址：绵阳市中心医院综合楼309室</w:t>
      </w:r>
    </w:p>
    <w:p>
      <w:pPr>
        <w:spacing w:line="284" w:lineRule="auto"/>
      </w:pPr>
    </w:p>
    <w:p>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sz w:val="44"/>
          <w:szCs w:val="44"/>
        </w:rPr>
      </w:pPr>
    </w:p>
    <w:p>
      <w:pPr>
        <w:spacing w:line="480" w:lineRule="auto"/>
        <w:ind w:firstLine="640" w:firstLineChars="200"/>
        <w:rPr>
          <w:rFonts w:ascii="宋体" w:hAnsi="宋体" w:cs="宋体"/>
          <w:b/>
          <w:bCs/>
          <w:sz w:val="32"/>
          <w:szCs w:val="32"/>
        </w:rPr>
      </w:pPr>
    </w:p>
    <w:p>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pPr>
        <w:tabs>
          <w:tab w:val="left" w:pos="3780"/>
        </w:tabs>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rPr>
          <w:rFonts w:ascii="宋体" w:hAnsi="宋体" w:cs="宋体"/>
          <w:b/>
          <w:sz w:val="32"/>
          <w:szCs w:val="32"/>
        </w:rPr>
      </w:pPr>
    </w:p>
    <w:p>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pPr>
        <w:pStyle w:val="15"/>
        <w:spacing w:before="240" w:beforeLines="100" w:after="120" w:afterLines="50"/>
        <w:ind w:firstLine="922" w:firstLineChars="255"/>
        <w:rPr>
          <w:rFonts w:ascii="宋体" w:hAnsi="宋体" w:eastAsia="宋体" w:cs="宋体"/>
          <w:b/>
          <w:bCs/>
          <w:sz w:val="36"/>
          <w:szCs w:val="36"/>
        </w:rPr>
      </w:pPr>
    </w:p>
    <w:p>
      <w:pPr>
        <w:pStyle w:val="15"/>
        <w:spacing w:before="240" w:beforeLines="100" w:after="120" w:afterLines="50"/>
        <w:ind w:firstLine="922" w:firstLineChars="255"/>
        <w:rPr>
          <w:rFonts w:ascii="宋体" w:hAnsi="宋体" w:eastAsia="宋体" w:cs="宋体"/>
          <w:b/>
          <w:bCs/>
          <w:sz w:val="36"/>
          <w:szCs w:val="36"/>
        </w:rPr>
      </w:pPr>
    </w:p>
    <w:p>
      <w:pPr>
        <w:pStyle w:val="15"/>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pPr>
        <w:pStyle w:val="15"/>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p>
      <w:pPr>
        <w:spacing w:line="284" w:lineRule="auto"/>
      </w:pPr>
    </w:p>
    <w:p>
      <w:pPr>
        <w:spacing w:before="140" w:line="271" w:lineRule="auto"/>
        <w:ind w:left="2723" w:right="1060" w:hanging="1532"/>
        <w:jc w:val="center"/>
        <w:rPr>
          <w:rFonts w:ascii="黑体" w:hAnsi="黑体" w:eastAsia="黑体" w:cs="黑体"/>
          <w:spacing w:val="8"/>
          <w:sz w:val="43"/>
          <w:szCs w:val="43"/>
        </w:rPr>
      </w:pPr>
    </w:p>
    <w:p>
      <w:pPr>
        <w:spacing w:before="140" w:line="271" w:lineRule="auto"/>
        <w:ind w:left="2723" w:right="1060" w:hanging="1532"/>
        <w:jc w:val="center"/>
        <w:rPr>
          <w:rFonts w:ascii="黑体" w:hAnsi="黑体" w:eastAsia="黑体" w:cs="黑体"/>
          <w:spacing w:val="8"/>
          <w:sz w:val="43"/>
          <w:szCs w:val="43"/>
        </w:rPr>
      </w:pPr>
    </w:p>
    <w:p>
      <w:pPr>
        <w:spacing w:before="140" w:line="271" w:lineRule="auto"/>
        <w:ind w:left="2723" w:right="1060" w:hanging="1532"/>
        <w:jc w:val="center"/>
        <w:rPr>
          <w:rFonts w:ascii="黑体" w:hAnsi="黑体" w:eastAsia="黑体" w:cs="黑体"/>
          <w:spacing w:val="8"/>
          <w:sz w:val="43"/>
          <w:szCs w:val="43"/>
        </w:rPr>
      </w:pPr>
    </w:p>
    <w:p>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p/>
    <w:p>
      <w:pPr>
        <w:spacing w:line="204" w:lineRule="exact"/>
      </w:pPr>
    </w:p>
    <w:tbl>
      <w:tblPr>
        <w:tblStyle w:val="13"/>
        <w:tblW w:w="92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8" w:hRule="atLeast"/>
        </w:trPr>
        <w:tc>
          <w:tcPr>
            <w:tcW w:w="9284" w:type="dxa"/>
          </w:tcPr>
          <w:p>
            <w:pPr>
              <w:spacing w:before="331" w:line="226" w:lineRule="auto"/>
              <w:ind w:left="165"/>
              <w:rPr>
                <w:rFonts w:ascii="仿宋" w:hAnsi="仿宋" w:eastAsia="仿宋" w:cs="仿宋"/>
                <w:sz w:val="31"/>
                <w:szCs w:val="31"/>
              </w:rPr>
            </w:pPr>
            <w:r>
              <w:rPr>
                <w:rFonts w:ascii="仿宋" w:hAnsi="仿宋" w:eastAsia="仿宋" w:cs="仿宋"/>
                <w:spacing w:val="1"/>
                <w:sz w:val="31"/>
                <w:szCs w:val="31"/>
              </w:rPr>
              <w:t>比选</w:t>
            </w:r>
            <w:r>
              <w:rPr>
                <w:rFonts w:hint="eastAsia" w:ascii="仿宋" w:hAnsi="仿宋" w:eastAsia="仿宋" w:cs="仿宋"/>
                <w:spacing w:val="1"/>
                <w:sz w:val="31"/>
                <w:szCs w:val="31"/>
              </w:rPr>
              <w:t>供应商</w:t>
            </w:r>
            <w:r>
              <w:rPr>
                <w:rFonts w:ascii="仿宋" w:hAnsi="仿宋" w:eastAsia="仿宋" w:cs="仿宋"/>
                <w:sz w:val="31"/>
                <w:szCs w:val="31"/>
              </w:rPr>
              <w:t>全称：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9284" w:type="dxa"/>
          </w:tcPr>
          <w:p>
            <w:pPr>
              <w:spacing w:before="332" w:line="226"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9284" w:type="dxa"/>
          </w:tcPr>
          <w:p>
            <w:pPr>
              <w:spacing w:before="326" w:line="228"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规格：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3" w:hRule="atLeast"/>
        </w:trPr>
        <w:tc>
          <w:tcPr>
            <w:tcW w:w="9284" w:type="dxa"/>
          </w:tcPr>
          <w:p>
            <w:pPr>
              <w:spacing w:line="301"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大写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9284" w:type="dxa"/>
          </w:tcPr>
          <w:p>
            <w:pPr>
              <w:spacing w:line="366"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小写：</w:t>
            </w:r>
          </w:p>
        </w:tc>
      </w:tr>
    </w:tbl>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8" w:lineRule="auto"/>
      </w:pPr>
    </w:p>
    <w:p>
      <w:pPr>
        <w:spacing w:line="258" w:lineRule="auto"/>
      </w:pPr>
    </w:p>
    <w:p>
      <w:pPr>
        <w:spacing w:line="258" w:lineRule="auto"/>
      </w:pPr>
    </w:p>
    <w:p>
      <w:pPr>
        <w:spacing w:line="258" w:lineRule="auto"/>
      </w:pPr>
    </w:p>
    <w:p>
      <w:pPr>
        <w:spacing w:line="258" w:lineRule="auto"/>
      </w:pPr>
    </w:p>
    <w:p>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pPr>
        <w:spacing w:line="357" w:lineRule="auto"/>
      </w:pPr>
    </w:p>
    <w:p>
      <w:pPr>
        <w:spacing w:line="357" w:lineRule="auto"/>
      </w:pPr>
    </w:p>
    <w:p>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pPr>
        <w:sectPr>
          <w:pgSz w:w="11906" w:h="16839"/>
          <w:pgMar w:top="1431" w:right="1356" w:bottom="0" w:left="1260" w:header="0" w:footer="0" w:gutter="0"/>
          <w:cols w:space="720" w:num="1"/>
        </w:sectPr>
      </w:pPr>
    </w:p>
    <w:p>
      <w:pPr>
        <w:spacing w:line="285" w:lineRule="auto"/>
      </w:pPr>
    </w:p>
    <w:p>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pPr>
        <w:spacing w:line="338" w:lineRule="auto"/>
      </w:pPr>
    </w:p>
    <w:p>
      <w:pPr>
        <w:spacing w:line="339" w:lineRule="auto"/>
      </w:pPr>
    </w:p>
    <w:p>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pPr>
        <w:spacing w:line="355" w:lineRule="auto"/>
      </w:pPr>
    </w:p>
    <w:p>
      <w:pPr>
        <w:spacing w:line="356" w:lineRule="auto"/>
      </w:pPr>
    </w:p>
    <w:p>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pPr>
        <w:spacing w:line="271"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pPr>
        <w:spacing w:line="262" w:lineRule="auto"/>
      </w:pPr>
    </w:p>
    <w:p>
      <w:pPr>
        <w:spacing w:line="262" w:lineRule="auto"/>
      </w:pPr>
    </w:p>
    <w:p>
      <w:pPr>
        <w:spacing w:line="262" w:lineRule="auto"/>
      </w:pPr>
    </w:p>
    <w:p>
      <w:pPr>
        <w:spacing w:line="262" w:lineRule="auto"/>
      </w:pPr>
    </w:p>
    <w:p>
      <w:pPr>
        <w:spacing w:line="262" w:lineRule="auto"/>
      </w:pPr>
    </w:p>
    <w:p>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pPr>
        <w:sectPr>
          <w:pgSz w:w="11906" w:h="16839"/>
          <w:pgMar w:top="1431" w:right="1785" w:bottom="0" w:left="1785" w:header="0" w:footer="0" w:gutter="0"/>
          <w:cols w:space="720" w:num="1"/>
        </w:sectPr>
      </w:pPr>
    </w:p>
    <w:p>
      <w:pPr>
        <w:spacing w:line="249" w:lineRule="auto"/>
      </w:pPr>
    </w:p>
    <w:p>
      <w:pPr>
        <w:spacing w:line="249" w:lineRule="auto"/>
      </w:pPr>
    </w:p>
    <w:p>
      <w:pPr>
        <w:spacing w:line="250" w:lineRule="auto"/>
      </w:pPr>
    </w:p>
    <w:p>
      <w:pPr>
        <w:spacing w:line="250" w:lineRule="auto"/>
      </w:pPr>
    </w:p>
    <w:p>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pPr>
        <w:spacing w:line="338" w:lineRule="auto"/>
      </w:pPr>
    </w:p>
    <w:p>
      <w:pPr>
        <w:spacing w:line="339" w:lineRule="auto"/>
      </w:pPr>
    </w:p>
    <w:p>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pPr>
        <w:spacing w:line="466" w:lineRule="auto"/>
      </w:pPr>
    </w:p>
    <w:p>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p>
      <w:pPr>
        <w:spacing w:line="176" w:lineRule="exact"/>
      </w:pPr>
    </w:p>
    <w:tbl>
      <w:tblPr>
        <w:tblStyle w:val="13"/>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tc>
        <w:tc>
          <w:tcPr>
            <w:tcW w:w="3962" w:type="dxa"/>
            <w:vMerge w:val="restart"/>
            <w:tcBorders>
              <w:top w:val="nil"/>
              <w:bottom w:val="nil"/>
            </w:tcBorders>
          </w:tcPr>
          <w:p>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pPr>
              <w:spacing w:line="20" w:lineRule="exact"/>
              <w:rPr>
                <w:sz w:val="2"/>
              </w:rPr>
            </w:pPr>
          </w:p>
        </w:tc>
        <w:tc>
          <w:tcPr>
            <w:tcW w:w="209" w:type="dxa"/>
            <w:vMerge w:val="continue"/>
            <w:tcBorders>
              <w:top w:val="nil"/>
              <w:bottom w:val="nil"/>
            </w:tcBorders>
          </w:tcPr>
          <w:p/>
        </w:tc>
        <w:tc>
          <w:tcPr>
            <w:tcW w:w="3962" w:type="dxa"/>
            <w:vMerge w:val="continue"/>
            <w:tcBorders>
              <w:top w:val="nil"/>
            </w:tcBorders>
          </w:tcPr>
          <w:p/>
        </w:tc>
      </w:tr>
    </w:tbl>
    <w:p/>
    <w:p/>
    <w:p/>
    <w:p/>
    <w:p/>
    <w:p/>
    <w:p/>
    <w:p/>
    <w:p/>
    <w:p>
      <w:pPr>
        <w:spacing w:before="217" w:line="224" w:lineRule="auto"/>
        <w:ind w:left="133"/>
        <w:jc w:val="center"/>
        <w:rPr>
          <w:rFonts w:ascii="仿宋" w:hAnsi="仿宋" w:eastAsia="仿宋" w:cs="仿宋"/>
          <w:b/>
          <w:bCs/>
          <w:spacing w:val="8"/>
          <w:sz w:val="31"/>
          <w:szCs w:val="31"/>
        </w:rPr>
      </w:pPr>
      <w:bookmarkStart w:id="0" w:name="_Toc87974341"/>
      <w:bookmarkStart w:id="1" w:name="_Toc443397363"/>
      <w:bookmarkStart w:id="2" w:name="_Toc11832062"/>
      <w:bookmarkStart w:id="3" w:name="_Toc13563815"/>
      <w:bookmarkStart w:id="4" w:name="_Toc482266098"/>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9"/>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比选文件要求</w:t>
            </w:r>
          </w:p>
        </w:tc>
        <w:tc>
          <w:tcPr>
            <w:tcW w:w="123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bl>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pPr>
        <w:pStyle w:val="2"/>
        <w:spacing w:line="240" w:lineRule="atLeast"/>
        <w:jc w:val="center"/>
        <w:rPr>
          <w:rFonts w:ascii="仿宋" w:hAnsi="仿宋" w:eastAsia="仿宋" w:cs="仿宋"/>
          <w:spacing w:val="8"/>
          <w:sz w:val="31"/>
          <w:szCs w:val="31"/>
        </w:rPr>
      </w:pPr>
      <w:bookmarkStart w:id="5" w:name="_Toc87974343"/>
      <w:r>
        <w:rPr>
          <w:rFonts w:hint="eastAsia" w:ascii="仿宋" w:hAnsi="仿宋" w:eastAsia="仿宋" w:cs="仿宋"/>
          <w:spacing w:val="8"/>
          <w:sz w:val="31"/>
          <w:szCs w:val="31"/>
        </w:rPr>
        <w:t>第三部分  商务</w:t>
      </w:r>
      <w:bookmarkEnd w:id="5"/>
    </w:p>
    <w:p>
      <w:pPr>
        <w:rPr>
          <w:rFonts w:ascii="仿宋" w:hAnsi="仿宋" w:eastAsia="仿宋" w:cs="仿宋"/>
          <w:b/>
          <w:bCs/>
          <w:spacing w:val="8"/>
          <w:sz w:val="31"/>
          <w:szCs w:val="31"/>
        </w:rPr>
      </w:pPr>
      <w:bookmarkStart w:id="6" w:name="_Toc482266101"/>
      <w:bookmarkStart w:id="7" w:name="_Toc11764032"/>
      <w:bookmarkStart w:id="8" w:name="_Toc13563872"/>
      <w:bookmarkStart w:id="9" w:name="_Toc443397365"/>
      <w:r>
        <w:rPr>
          <w:rFonts w:hint="eastAsia" w:ascii="仿宋" w:hAnsi="仿宋" w:eastAsia="仿宋" w:cs="仿宋"/>
          <w:b/>
          <w:bCs/>
          <w:spacing w:val="8"/>
          <w:sz w:val="31"/>
          <w:szCs w:val="31"/>
        </w:rPr>
        <w:t>商务应答表</w:t>
      </w:r>
      <w:bookmarkEnd w:id="6"/>
      <w:bookmarkEnd w:id="7"/>
      <w:bookmarkEnd w:id="8"/>
      <w:bookmarkEnd w:id="9"/>
    </w:p>
    <w:tbl>
      <w:tblPr>
        <w:tblStyle w:val="9"/>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序号</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内容</w:t>
            </w: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1</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2</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3</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4</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bl>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注：供应商必须据实填写（备注中可注明正、负或无偏离），不得虚假响应，否则将取消其投标或成交资格，并按有关规定进行处罚。未按要求填写并在响应文件中无资料应证影响评比的责任自负。</w:t>
      </w:r>
    </w:p>
    <w:p>
      <w:pPr>
        <w:tabs>
          <w:tab w:val="left" w:pos="2090"/>
        </w:tabs>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ab/>
      </w:r>
    </w:p>
    <w:p>
      <w:pPr>
        <w:spacing w:line="480" w:lineRule="exact"/>
        <w:ind w:firstLine="652" w:firstLineChars="200"/>
        <w:rPr>
          <w:rFonts w:ascii="仿宋" w:hAnsi="仿宋" w:eastAsia="仿宋" w:cs="仿宋"/>
          <w:spacing w:val="8"/>
          <w:sz w:val="31"/>
          <w:szCs w:val="31"/>
        </w:rPr>
      </w:pP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jc w:val="center"/>
        <w:rPr>
          <w:rFonts w:ascii="仿宋" w:hAnsi="仿宋" w:eastAsia="仿宋" w:cs="仿宋"/>
          <w:b/>
          <w:bCs/>
          <w:spacing w:val="8"/>
          <w:sz w:val="31"/>
          <w:szCs w:val="31"/>
        </w:rPr>
      </w:pPr>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商业信誉承诺书</w:t>
      </w:r>
    </w:p>
    <w:p>
      <w:pPr>
        <w:spacing w:line="360" w:lineRule="auto"/>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（供应商名称）在参加本次采购活动前具有良好的商业信誉。</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健全在财务会计制度承诺书</w:t>
      </w:r>
    </w:p>
    <w:p>
      <w:pPr>
        <w:rPr>
          <w:rFonts w:ascii="仿宋" w:hAnsi="仿宋" w:eastAsia="仿宋" w:cs="仿宋"/>
          <w:spacing w:val="8"/>
          <w:sz w:val="31"/>
          <w:szCs w:val="31"/>
        </w:rPr>
      </w:pPr>
    </w:p>
    <w:p>
      <w:pPr>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（供应商名称）在参加本次采购活动前具有健全的财务会计制度。</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pStyle w:val="4"/>
        <w:rPr>
          <w:rFonts w:ascii="仿宋" w:hAnsi="仿宋" w:eastAsia="仿宋" w:cs="仿宋"/>
          <w:spacing w:val="8"/>
          <w:sz w:val="31"/>
          <w:szCs w:val="31"/>
        </w:rPr>
      </w:pPr>
    </w:p>
    <w:p>
      <w:pPr>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10" w:name="_Toc13563876"/>
      <w:bookmarkStart w:id="11" w:name="_Toc11764036"/>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具有履行合同所必须的设备和专业技术</w:t>
      </w:r>
      <w:bookmarkEnd w:id="10"/>
      <w:bookmarkEnd w:id="11"/>
      <w:r>
        <w:rPr>
          <w:rFonts w:hint="eastAsia" w:ascii="仿宋" w:hAnsi="仿宋" w:eastAsia="仿宋" w:cs="仿宋"/>
          <w:b/>
          <w:bCs/>
          <w:spacing w:val="8"/>
          <w:sz w:val="31"/>
          <w:szCs w:val="31"/>
        </w:rPr>
        <w:t>能力的承诺书</w:t>
      </w:r>
    </w:p>
    <w:p>
      <w:pPr>
        <w:spacing w:line="360" w:lineRule="auto"/>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（供应商名称）具有参加本次采购活动，履行采购合同所必须的设备和专业技术能力。</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r>
        <w:rPr>
          <w:rFonts w:hint="eastAsia" w:ascii="仿宋" w:hAnsi="仿宋" w:eastAsia="仿宋" w:cs="仿宋"/>
          <w:spacing w:val="8"/>
          <w:sz w:val="31"/>
          <w:szCs w:val="31"/>
        </w:rPr>
        <w:t>备注：若属于联合体投标的，由投标的全权代表方做出承诺。</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spacing w:val="8"/>
          <w:sz w:val="31"/>
          <w:szCs w:val="31"/>
        </w:rPr>
      </w:pPr>
      <w:bookmarkStart w:id="12" w:name="_Toc11764037"/>
      <w:bookmarkStart w:id="13" w:name="_Toc13563877"/>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具有依法缴纳税收和社会保障资金良好</w:t>
      </w:r>
      <w:bookmarkEnd w:id="12"/>
      <w:bookmarkEnd w:id="13"/>
      <w:r>
        <w:rPr>
          <w:rFonts w:hint="eastAsia" w:ascii="仿宋" w:hAnsi="仿宋" w:eastAsia="仿宋" w:cs="仿宋"/>
          <w:b/>
          <w:bCs/>
          <w:spacing w:val="8"/>
          <w:sz w:val="31"/>
          <w:szCs w:val="31"/>
        </w:rPr>
        <w:t>记录的承诺书</w:t>
      </w:r>
    </w:p>
    <w:p>
      <w:pPr>
        <w:spacing w:line="360" w:lineRule="auto"/>
        <w:ind w:firstLine="652" w:firstLineChars="200"/>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（供应商名称）具有依法缴纳税收和社会保障资金的良好记录。</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r>
        <w:rPr>
          <w:rFonts w:hint="eastAsia" w:ascii="仿宋" w:hAnsi="仿宋" w:eastAsia="仿宋" w:cs="仿宋"/>
          <w:spacing w:val="8"/>
          <w:sz w:val="31"/>
          <w:szCs w:val="31"/>
        </w:rPr>
        <w:t>备注：若属于联合体投标的，能够提供证明材料的联合体方应按招标文件要求提供，对提供证明材料困难的其他联合体方应作出此承诺。</w:t>
      </w: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14" w:name="_Toc13563878"/>
      <w:bookmarkStart w:id="15" w:name="_Toc11764038"/>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没有重大违法记录的书面声明</w:t>
      </w:r>
      <w:bookmarkEnd w:id="14"/>
      <w:bookmarkEnd w:id="15"/>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（供应商名称）郑重声明：</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（供应商名称）在参加本次采购活动前3年内在经营活动中没有重大违法记录（即因违法经营受到刑事处罚或者责令停产停业、吊销许可证或者执照、较大数额罚款等行政处罚的行为）。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特此声明。</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rPr>
          <w:rFonts w:ascii="仿宋" w:hAnsi="仿宋" w:eastAsia="仿宋" w:cs="仿宋"/>
          <w:spacing w:val="8"/>
          <w:sz w:val="31"/>
          <w:szCs w:val="31"/>
        </w:rPr>
      </w:pPr>
    </w:p>
    <w:p>
      <w:pPr>
        <w:pStyle w:val="4"/>
        <w:rPr>
          <w:rFonts w:ascii="仿宋" w:hAnsi="仿宋" w:eastAsia="仿宋" w:cs="仿宋"/>
          <w:spacing w:val="8"/>
          <w:sz w:val="31"/>
          <w:szCs w:val="31"/>
        </w:rPr>
      </w:pPr>
    </w:p>
    <w:p>
      <w:pPr>
        <w:spacing w:line="360" w:lineRule="auto"/>
        <w:rPr>
          <w:rFonts w:ascii="仿宋" w:hAnsi="仿宋" w:eastAsia="仿宋" w:cs="仿宋"/>
          <w:spacing w:val="8"/>
          <w:sz w:val="31"/>
          <w:szCs w:val="31"/>
        </w:rPr>
      </w:pPr>
      <w:r>
        <w:rPr>
          <w:rFonts w:hint="eastAsia" w:ascii="仿宋" w:hAnsi="仿宋" w:eastAsia="仿宋" w:cs="仿宋"/>
          <w:spacing w:val="8"/>
          <w:sz w:val="31"/>
          <w:szCs w:val="31"/>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pPr>
        <w:spacing w:line="360" w:lineRule="auto"/>
        <w:rPr>
          <w:rFonts w:ascii="仿宋" w:hAnsi="仿宋" w:eastAsia="仿宋" w:cs="仿宋"/>
          <w:spacing w:val="8"/>
          <w:sz w:val="31"/>
          <w:szCs w:val="31"/>
        </w:rPr>
      </w:pPr>
      <w:r>
        <w:rPr>
          <w:rFonts w:hint="eastAsia" w:ascii="仿宋" w:hAnsi="仿宋" w:eastAsia="仿宋" w:cs="仿宋"/>
          <w:spacing w:val="8"/>
          <w:sz w:val="31"/>
          <w:szCs w:val="31"/>
        </w:rPr>
        <w:t xml:space="preserve">    2.若属于联合体投标的，联合体的各方都要单独出具本声明。</w:t>
      </w:r>
      <w:bookmarkStart w:id="16" w:name="_Toc11231749"/>
      <w:bookmarkStart w:id="17" w:name="_Toc479755777"/>
      <w:bookmarkStart w:id="18" w:name="_Toc13563879"/>
    </w:p>
    <w:p>
      <w:pPr>
        <w:jc w:val="center"/>
        <w:rPr>
          <w:rFonts w:ascii="仿宋" w:hAnsi="仿宋" w:eastAsia="仿宋" w:cs="仿宋"/>
          <w:spacing w:val="8"/>
          <w:sz w:val="31"/>
          <w:szCs w:val="31"/>
        </w:rPr>
      </w:pPr>
    </w:p>
    <w:p>
      <w:pPr>
        <w:jc w:val="center"/>
        <w:rPr>
          <w:rFonts w:ascii="仿宋" w:hAnsi="仿宋" w:eastAsia="仿宋" w:cs="仿宋"/>
          <w:spacing w:val="8"/>
          <w:sz w:val="31"/>
          <w:szCs w:val="31"/>
        </w:rPr>
      </w:pPr>
      <w:r>
        <w:rPr>
          <w:rFonts w:hint="eastAsia" w:ascii="仿宋" w:hAnsi="仿宋" w:eastAsia="仿宋" w:cs="仿宋"/>
          <w:spacing w:val="8"/>
          <w:sz w:val="31"/>
          <w:szCs w:val="31"/>
        </w:rPr>
        <w:t>制造商家或代理商授权书（如涉及）</w:t>
      </w:r>
      <w:bookmarkEnd w:id="16"/>
      <w:bookmarkEnd w:id="17"/>
      <w:bookmarkEnd w:id="18"/>
    </w:p>
    <w:p>
      <w:pPr>
        <w:spacing w:line="400" w:lineRule="exact"/>
        <w:jc w:val="center"/>
        <w:rPr>
          <w:rFonts w:ascii="仿宋" w:hAnsi="仿宋" w:eastAsia="仿宋" w:cs="仿宋"/>
          <w:spacing w:val="8"/>
          <w:sz w:val="31"/>
          <w:szCs w:val="31"/>
        </w:rPr>
      </w:pPr>
    </w:p>
    <w:p>
      <w:pPr>
        <w:spacing w:line="480" w:lineRule="exact"/>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（制造商家或代理商名称）是在      .（国名）依法登记注册的，其厂址现在。</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 xml:space="preserve">（被授权公司名称）是在.        </w:t>
      </w:r>
    </w:p>
    <w:p>
      <w:pPr>
        <w:spacing w:line="480" w:lineRule="exact"/>
        <w:ind w:firstLine="105"/>
        <w:rPr>
          <w:rFonts w:ascii="仿宋" w:hAnsi="仿宋" w:eastAsia="仿宋" w:cs="仿宋"/>
          <w:spacing w:val="8"/>
          <w:sz w:val="31"/>
          <w:szCs w:val="31"/>
        </w:rPr>
      </w:pPr>
      <w:r>
        <w:rPr>
          <w:rFonts w:hint="eastAsia" w:ascii="仿宋" w:hAnsi="仿宋" w:eastAsia="仿宋" w:cs="仿宋"/>
          <w:spacing w:val="8"/>
          <w:sz w:val="31"/>
          <w:szCs w:val="31"/>
        </w:rPr>
        <w:t>（国名）依法登记注册的，其主要营业地点现在。</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（制造商家或代理商名称）授权   （被授权公司名称）为我方制造或代理的品牌产品的合法销售商（授权销售的产品可附清单），全权处理与该产品投标的有关事宜，并对我方具有约束力。</w:t>
      </w:r>
    </w:p>
    <w:p>
      <w:pPr>
        <w:spacing w:after="120" w:line="480" w:lineRule="exact"/>
        <w:ind w:firstLine="733" w:firstLineChars="225"/>
        <w:rPr>
          <w:rFonts w:ascii="仿宋" w:hAnsi="仿宋" w:eastAsia="仿宋" w:cs="仿宋"/>
          <w:spacing w:val="8"/>
          <w:sz w:val="31"/>
          <w:szCs w:val="31"/>
        </w:rPr>
      </w:pPr>
      <w:r>
        <w:rPr>
          <w:rFonts w:hint="eastAsia" w:ascii="仿宋" w:hAnsi="仿宋" w:eastAsia="仿宋" w:cs="仿宋"/>
          <w:spacing w:val="8"/>
          <w:sz w:val="31"/>
          <w:szCs w:val="31"/>
        </w:rPr>
        <w:t>作为制造商或代理商，我方承诺，为本次招标提供的货物为原厂制造、合法渠道供应的全新产品。我方保证以投标合作者来约束自己，并对该投标共同承担和分别承担招标文件中所规定的义务。</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授权期限：</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 xml:space="preserve">授权单位名称：（盖公章） </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w:t>
      </w:r>
      <w:r>
        <w:rPr>
          <w:rFonts w:hint="eastAsia" w:ascii="仿宋" w:hAnsi="仿宋" w:eastAsia="仿宋" w:cs="仿宋"/>
          <w:spacing w:val="8"/>
          <w:sz w:val="31"/>
          <w:szCs w:val="31"/>
        </w:rPr>
        <w:tab/>
      </w:r>
      <w:r>
        <w:rPr>
          <w:rFonts w:hint="eastAsia" w:ascii="仿宋" w:hAnsi="仿宋" w:eastAsia="仿宋" w:cs="仿宋"/>
          <w:spacing w:val="8"/>
          <w:sz w:val="31"/>
          <w:szCs w:val="31"/>
        </w:rPr>
        <w:tab/>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 xml:space="preserve">   2、制造商家或代理商授权书根据采购项目要求提供，没有要求的不需要提供。</w:t>
      </w:r>
    </w:p>
    <w:p>
      <w:pPr>
        <w:spacing w:line="480" w:lineRule="exact"/>
        <w:ind w:firstLine="652" w:firstLineChars="200"/>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bookmarkStart w:id="19" w:name="_Toc11764039"/>
      <w:bookmarkStart w:id="20" w:name="_Toc13563880"/>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无行贿犯罪记录的承诺函</w:t>
      </w:r>
      <w:bookmarkEnd w:id="19"/>
      <w:bookmarkEnd w:id="20"/>
    </w:p>
    <w:p>
      <w:pPr>
        <w:spacing w:line="360" w:lineRule="auto"/>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（供应商名称）在参加本次采购活动前3年内公司及法定代表人（非法人负责人、自然人本人）在前3年内无行贿犯罪记录。</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特此声明。</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bookmarkStart w:id="21" w:name="_Toc13563881"/>
      <w:bookmarkStart w:id="22" w:name="_Toc11764040"/>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left="281" w:leftChars="134" w:firstLine="299" w:firstLineChars="92"/>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rPr>
          <w:rFonts w:ascii="仿宋" w:hAnsi="仿宋" w:eastAsia="仿宋" w:cs="仿宋"/>
          <w:spacing w:val="8"/>
          <w:sz w:val="31"/>
          <w:szCs w:val="31"/>
        </w:rPr>
      </w:pPr>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诚信行为声明函</w:t>
      </w:r>
      <w:bookmarkEnd w:id="21"/>
      <w:bookmarkEnd w:id="22"/>
    </w:p>
    <w:p>
      <w:pPr>
        <w:pStyle w:val="3"/>
        <w:rPr>
          <w:rFonts w:ascii="仿宋" w:hAnsi="仿宋" w:eastAsia="仿宋" w:cs="仿宋"/>
          <w:spacing w:val="8"/>
          <w:sz w:val="31"/>
          <w:szCs w:val="31"/>
        </w:rPr>
      </w:pP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本公司作为“     （项目名称）       ” 编号：           采购项目的供应商，郑重声明：</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1、在参与本次同一合同项下的采购活动中，不存在与其他供应商的单位负责人为同一人或者与其他供应商存在直接控股、管理关系的情形；</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2、在参加本次采购活动前，未被纳入法院、市场监管部门、税务部门、银行认定的失信名单内；</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3、在参加本次采购活动前三年内的采购合同履约过程中及其他经营活动履约过程中，无未依法履约被有关部门处罚（处理）的行为；</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4、在参加采购活动前一年内无《四川省政府采购当事人诚信管理办法》第八条之规定的失信行为。</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本公司对上述声明的真实性负责。如有虚假，将依法承担相应责任。</w:t>
      </w: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pStyle w:val="3"/>
        <w:spacing w:line="480" w:lineRule="exact"/>
        <w:ind w:firstLine="48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pStyle w:val="3"/>
        <w:spacing w:line="480" w:lineRule="exact"/>
        <w:ind w:firstLine="48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      期：      年    月    日</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23" w:name="_Toc11764041"/>
      <w:bookmarkStart w:id="24" w:name="_Toc13563882"/>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供应商廉政承诺书</w:t>
      </w:r>
      <w:bookmarkEnd w:id="23"/>
      <w:bookmarkEnd w:id="24"/>
    </w:p>
    <w:p>
      <w:pPr>
        <w:spacing w:line="600" w:lineRule="exact"/>
        <w:jc w:val="center"/>
        <w:rPr>
          <w:rFonts w:ascii="仿宋" w:hAnsi="仿宋" w:eastAsia="仿宋" w:cs="仿宋"/>
          <w:spacing w:val="8"/>
          <w:sz w:val="31"/>
          <w:szCs w:val="31"/>
        </w:rPr>
      </w:pP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本企业参与“项目名称    ”编号：项目的投标，现郑重承诺：</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一、不以任何方式向项目招标采购人员、审批人员、监管及行业主管人员以及评标专家等行贿。</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二、不以任何方式托人打招呼、求关照，搞利益结盟，腐蚀党和国家机关工作人员。</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以上承诺如有违反，请严肃处理，欢迎监督举报！</w:t>
      </w:r>
    </w:p>
    <w:p>
      <w:pPr>
        <w:spacing w:line="600" w:lineRule="exact"/>
        <w:rPr>
          <w:rFonts w:ascii="仿宋" w:hAnsi="仿宋" w:eastAsia="仿宋" w:cs="仿宋"/>
          <w:spacing w:val="8"/>
          <w:sz w:val="31"/>
          <w:szCs w:val="31"/>
        </w:rPr>
      </w:pPr>
    </w:p>
    <w:p>
      <w:pPr>
        <w:spacing w:line="600" w:lineRule="exact"/>
        <w:rPr>
          <w:rFonts w:ascii="仿宋" w:hAnsi="仿宋" w:eastAsia="仿宋" w:cs="仿宋"/>
          <w:spacing w:val="8"/>
          <w:sz w:val="31"/>
          <w:szCs w:val="31"/>
        </w:rPr>
      </w:pPr>
    </w:p>
    <w:p>
      <w:pPr>
        <w:spacing w:line="600" w:lineRule="exact"/>
        <w:rPr>
          <w:rFonts w:ascii="仿宋" w:hAnsi="仿宋" w:eastAsia="仿宋" w:cs="仿宋"/>
          <w:spacing w:val="8"/>
          <w:sz w:val="31"/>
          <w:szCs w:val="31"/>
        </w:rPr>
      </w:pPr>
    </w:p>
    <w:p>
      <w:pPr>
        <w:pStyle w:val="3"/>
        <w:spacing w:line="400" w:lineRule="exact"/>
        <w:ind w:firstLine="48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pStyle w:val="3"/>
        <w:spacing w:line="400" w:lineRule="exact"/>
        <w:ind w:firstLine="480"/>
        <w:rPr>
          <w:rFonts w:ascii="仿宋" w:hAnsi="仿宋" w:eastAsia="仿宋" w:cs="仿宋"/>
          <w:spacing w:val="8"/>
          <w:sz w:val="31"/>
          <w:szCs w:val="31"/>
        </w:rPr>
      </w:pPr>
    </w:p>
    <w:p>
      <w:pPr>
        <w:pStyle w:val="3"/>
        <w:spacing w:line="400" w:lineRule="exact"/>
        <w:ind w:firstLine="48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pStyle w:val="3"/>
        <w:spacing w:line="400" w:lineRule="exact"/>
        <w:ind w:firstLine="480"/>
        <w:rPr>
          <w:rFonts w:ascii="仿宋" w:hAnsi="仿宋" w:eastAsia="仿宋" w:cs="仿宋"/>
          <w:spacing w:val="8"/>
          <w:sz w:val="31"/>
          <w:szCs w:val="31"/>
        </w:rPr>
      </w:pPr>
    </w:p>
    <w:p>
      <w:pPr>
        <w:spacing w:line="4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      期：      年    月    日</w:t>
      </w:r>
    </w:p>
    <w:p>
      <w:pPr>
        <w:spacing w:line="360" w:lineRule="auto"/>
        <w:rPr>
          <w:rFonts w:ascii="仿宋" w:hAnsi="仿宋" w:eastAsia="仿宋" w:cs="仿宋"/>
          <w:spacing w:val="8"/>
          <w:sz w:val="31"/>
          <w:szCs w:val="31"/>
        </w:rPr>
      </w:pPr>
    </w:p>
    <w:p>
      <w:pPr>
        <w:spacing w:line="360" w:lineRule="auto"/>
        <w:rPr>
          <w:rFonts w:ascii="仿宋" w:hAnsi="仿宋" w:eastAsia="仿宋" w:cs="仿宋"/>
          <w:spacing w:val="8"/>
          <w:sz w:val="31"/>
          <w:szCs w:val="31"/>
        </w:rPr>
      </w:pPr>
    </w:p>
    <w:p>
      <w:pPr>
        <w:jc w:val="center"/>
        <w:rPr>
          <w:rFonts w:ascii="仿宋" w:hAnsi="仿宋" w:eastAsia="仿宋" w:cs="仿宋"/>
          <w:spacing w:val="8"/>
          <w:sz w:val="31"/>
          <w:szCs w:val="31"/>
        </w:rPr>
      </w:pPr>
      <w:bookmarkStart w:id="25" w:name="_Toc443397367"/>
      <w:bookmarkStart w:id="26" w:name="_Toc443393358"/>
      <w:bookmarkStart w:id="27" w:name="_Toc13563883"/>
      <w:bookmarkStart w:id="28" w:name="_Toc482266104"/>
      <w:bookmarkStart w:id="29" w:name="_Toc11764042"/>
      <w:r>
        <w:rPr>
          <w:rFonts w:hint="eastAsia" w:ascii="仿宋" w:hAnsi="仿宋" w:eastAsia="仿宋" w:cs="仿宋"/>
          <w:spacing w:val="8"/>
          <w:sz w:val="31"/>
          <w:szCs w:val="31"/>
        </w:rPr>
        <w:br w:type="page"/>
      </w:r>
      <w:r>
        <w:rPr>
          <w:rFonts w:hint="eastAsia" w:ascii="仿宋" w:hAnsi="仿宋" w:eastAsia="仿宋" w:cs="仿宋"/>
          <w:spacing w:val="8"/>
          <w:sz w:val="31"/>
          <w:szCs w:val="31"/>
        </w:rPr>
        <w:t>供应商基本情况表</w:t>
      </w:r>
      <w:bookmarkEnd w:id="25"/>
      <w:bookmarkEnd w:id="26"/>
      <w:bookmarkEnd w:id="27"/>
      <w:bookmarkEnd w:id="28"/>
      <w:bookmarkEnd w:id="29"/>
    </w:p>
    <w:tbl>
      <w:tblPr>
        <w:tblStyle w:val="9"/>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35"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pPr>
              <w:rPr>
                <w:rFonts w:ascii="仿宋" w:hAnsi="仿宋" w:eastAsia="仿宋" w:cs="仿宋"/>
                <w:spacing w:val="8"/>
                <w:sz w:val="31"/>
                <w:szCs w:val="31"/>
              </w:rPr>
            </w:pP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pPr>
              <w:spacing w:line="400" w:lineRule="exact"/>
              <w:ind w:firstLine="2282" w:firstLineChars="700"/>
              <w:rPr>
                <w:rFonts w:ascii="仿宋" w:hAnsi="仿宋" w:eastAsia="仿宋" w:cs="仿宋"/>
                <w:spacing w:val="8"/>
                <w:sz w:val="31"/>
                <w:szCs w:val="31"/>
              </w:rPr>
            </w:pPr>
            <w:r>
              <w:rPr>
                <w:rFonts w:hint="eastAsia" w:ascii="仿宋" w:hAnsi="仿宋" w:eastAsia="仿宋" w:cs="仿宋"/>
                <w:spacing w:val="8"/>
                <w:sz w:val="31"/>
                <w:szCs w:val="31"/>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line="400" w:lineRule="exact"/>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备注</w:t>
            </w:r>
          </w:p>
        </w:tc>
        <w:tc>
          <w:tcPr>
            <w:tcW w:w="7560" w:type="dxa"/>
            <w:gridSpan w:val="8"/>
            <w:tcBorders>
              <w:top w:val="single" w:color="auto" w:sz="6" w:space="0"/>
              <w:left w:val="single" w:color="auto" w:sz="6" w:space="0"/>
              <w:bottom w:val="single" w:color="auto" w:sz="18" w:space="0"/>
              <w:right w:val="single" w:color="auto" w:sz="18" w:space="0"/>
            </w:tcBorders>
          </w:tcPr>
          <w:p>
            <w:pPr>
              <w:spacing w:line="400" w:lineRule="exact"/>
              <w:rPr>
                <w:rFonts w:ascii="仿宋" w:hAnsi="仿宋" w:eastAsia="仿宋" w:cs="仿宋"/>
                <w:spacing w:val="8"/>
                <w:sz w:val="31"/>
                <w:szCs w:val="31"/>
              </w:rPr>
            </w:pPr>
          </w:p>
        </w:tc>
      </w:tr>
    </w:tbl>
    <w:p>
      <w:pPr>
        <w:pStyle w:val="3"/>
        <w:rPr>
          <w:rFonts w:ascii="仿宋" w:hAnsi="仿宋" w:eastAsia="仿宋" w:cs="仿宋"/>
          <w:spacing w:val="8"/>
          <w:sz w:val="31"/>
          <w:szCs w:val="31"/>
        </w:rPr>
      </w:pPr>
    </w:p>
    <w:p>
      <w:pPr>
        <w:spacing w:before="120" w:beforeLines="50" w:after="120" w:afterLines="50" w:line="400" w:lineRule="exact"/>
        <w:jc w:val="center"/>
        <w:rPr>
          <w:rFonts w:ascii="仿宋" w:hAnsi="仿宋" w:eastAsia="仿宋" w:cs="仿宋"/>
          <w:spacing w:val="8"/>
          <w:sz w:val="31"/>
          <w:szCs w:val="31"/>
        </w:rPr>
      </w:pPr>
    </w:p>
    <w:p>
      <w:pPr>
        <w:spacing w:line="400" w:lineRule="exact"/>
        <w:ind w:firstLine="570" w:firstLineChars="175"/>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line="400" w:lineRule="exact"/>
        <w:ind w:firstLine="570" w:firstLineChars="175"/>
        <w:rPr>
          <w:rFonts w:ascii="仿宋" w:hAnsi="仿宋" w:eastAsia="仿宋" w:cs="仿宋"/>
          <w:spacing w:val="8"/>
          <w:sz w:val="31"/>
          <w:szCs w:val="31"/>
        </w:rPr>
      </w:pPr>
    </w:p>
    <w:p>
      <w:pPr>
        <w:spacing w:line="400" w:lineRule="exact"/>
        <w:ind w:firstLine="570" w:firstLineChars="175"/>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50" w:lineRule="exact"/>
        <w:ind w:firstLine="652" w:firstLineChars="200"/>
        <w:rPr>
          <w:rFonts w:ascii="仿宋" w:hAnsi="仿宋" w:eastAsia="仿宋" w:cs="仿宋"/>
          <w:spacing w:val="8"/>
          <w:sz w:val="31"/>
          <w:szCs w:val="31"/>
        </w:rPr>
      </w:pPr>
    </w:p>
    <w:p>
      <w:pPr>
        <w:spacing w:line="35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      年      月     日</w:t>
      </w:r>
    </w:p>
    <w:p>
      <w:pPr>
        <w:pStyle w:val="2"/>
        <w:rPr>
          <w:rFonts w:ascii="仿宋" w:hAnsi="仿宋" w:eastAsia="仿宋" w:cs="仿宋"/>
          <w:b w:val="0"/>
          <w:bCs w:val="0"/>
          <w:spacing w:val="8"/>
          <w:sz w:val="31"/>
          <w:szCs w:val="31"/>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08B99BC-2A90-46E8-8202-74528C35186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embedRegular r:id="rId2" w:fontKey="{59F43B2B-84C9-474C-9A63-78E8DC934E32}"/>
  </w:font>
  <w:font w:name="微软雅黑">
    <w:panose1 w:val="020B0503020204020204"/>
    <w:charset w:val="86"/>
    <w:family w:val="swiss"/>
    <w:pitch w:val="default"/>
    <w:sig w:usb0="80000287" w:usb1="2ACF3C50" w:usb2="00000016" w:usb3="00000000" w:csb0="0004001F" w:csb1="00000000"/>
    <w:embedRegular r:id="rId3" w:fontKey="{AD203ED1-3279-42EE-8A34-B66D7AC5C131}"/>
  </w:font>
  <w:font w:name="方正仿宋_GB2312">
    <w:panose1 w:val="02000000000000000000"/>
    <w:charset w:val="86"/>
    <w:family w:val="auto"/>
    <w:pitch w:val="default"/>
    <w:sig w:usb0="A00002BF" w:usb1="184F6CFA" w:usb2="00000012" w:usb3="00000000" w:csb0="00040001" w:csb1="00000000"/>
    <w:embedRegular r:id="rId4" w:fontKey="{6151A344-8260-4A23-AA55-A3A6915498D2}"/>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2"/>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VhNTY2M2EwZDMyZTE0NTZiN2UxNDUzN2E2YmY2OTIifQ=="/>
  </w:docVars>
  <w:rsids>
    <w:rsidRoot w:val="008B247C"/>
    <w:rsid w:val="000265F5"/>
    <w:rsid w:val="00037D01"/>
    <w:rsid w:val="00053895"/>
    <w:rsid w:val="00076DB5"/>
    <w:rsid w:val="000F6382"/>
    <w:rsid w:val="0019483D"/>
    <w:rsid w:val="001A00E1"/>
    <w:rsid w:val="001E2325"/>
    <w:rsid w:val="001F03BA"/>
    <w:rsid w:val="00251B62"/>
    <w:rsid w:val="0027525F"/>
    <w:rsid w:val="00290A97"/>
    <w:rsid w:val="002C63CA"/>
    <w:rsid w:val="003038B7"/>
    <w:rsid w:val="003263BA"/>
    <w:rsid w:val="00356D95"/>
    <w:rsid w:val="004039F9"/>
    <w:rsid w:val="00416ED2"/>
    <w:rsid w:val="00442096"/>
    <w:rsid w:val="00482C27"/>
    <w:rsid w:val="00531697"/>
    <w:rsid w:val="005675DB"/>
    <w:rsid w:val="006C6A6B"/>
    <w:rsid w:val="006E0336"/>
    <w:rsid w:val="007974A8"/>
    <w:rsid w:val="0084225C"/>
    <w:rsid w:val="008B247C"/>
    <w:rsid w:val="00940BFD"/>
    <w:rsid w:val="00976348"/>
    <w:rsid w:val="00A01BF5"/>
    <w:rsid w:val="00B4687F"/>
    <w:rsid w:val="00BC6A67"/>
    <w:rsid w:val="00CD1667"/>
    <w:rsid w:val="00D05AB1"/>
    <w:rsid w:val="00D50A19"/>
    <w:rsid w:val="00E6423C"/>
    <w:rsid w:val="00EE6F82"/>
    <w:rsid w:val="00EF50F9"/>
    <w:rsid w:val="00F03391"/>
    <w:rsid w:val="00F65439"/>
    <w:rsid w:val="00FE6471"/>
    <w:rsid w:val="14015CB0"/>
    <w:rsid w:val="1E500961"/>
    <w:rsid w:val="1F127F89"/>
    <w:rsid w:val="201725C8"/>
    <w:rsid w:val="29276970"/>
    <w:rsid w:val="2CB63FA3"/>
    <w:rsid w:val="4D3D691B"/>
    <w:rsid w:val="4F9D48D9"/>
    <w:rsid w:val="515646EF"/>
    <w:rsid w:val="586430DB"/>
    <w:rsid w:val="5C33726B"/>
    <w:rsid w:val="77030AD0"/>
    <w:rsid w:val="78482770"/>
    <w:rsid w:val="7B467BAA"/>
    <w:rsid w:val="7C173A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1">
    <w:name w:val="Default Paragraph Font"/>
    <w:semiHidden/>
    <w:unhideWhenUsed/>
    <w:uiPriority w:val="1"/>
  </w:style>
  <w:style w:type="table" w:default="1" w:styleId="9">
    <w:name w:val="Normal Table"/>
    <w:autoRedefin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ind w:firstLine="420"/>
    </w:pPr>
    <w:rPr>
      <w:szCs w:val="20"/>
    </w:rPr>
  </w:style>
  <w:style w:type="paragraph" w:styleId="4">
    <w:name w:val="Body Text"/>
    <w:basedOn w:val="1"/>
    <w:next w:val="1"/>
    <w:autoRedefine/>
    <w:qFormat/>
    <w:uiPriority w:val="0"/>
    <w:pPr>
      <w:jc w:val="center"/>
    </w:pPr>
    <w:rPr>
      <w:rFonts w:eastAsia="黑体"/>
      <w:sz w:val="44"/>
    </w:rPr>
  </w:style>
  <w:style w:type="paragraph" w:styleId="5">
    <w:name w:val="footer"/>
    <w:basedOn w:val="1"/>
    <w:link w:val="17"/>
    <w:autoRedefine/>
    <w:qFormat/>
    <w:uiPriority w:val="0"/>
    <w:pPr>
      <w:tabs>
        <w:tab w:val="center" w:pos="4153"/>
        <w:tab w:val="right" w:pos="8306"/>
      </w:tabs>
    </w:pPr>
    <w:rPr>
      <w:sz w:val="18"/>
      <w:szCs w:val="18"/>
    </w:rPr>
  </w:style>
  <w:style w:type="paragraph" w:styleId="6">
    <w:name w:val="header"/>
    <w:basedOn w:val="1"/>
    <w:link w:val="16"/>
    <w:autoRedefine/>
    <w:qFormat/>
    <w:uiPriority w:val="0"/>
    <w:pPr>
      <w:pBdr>
        <w:bottom w:val="single" w:color="auto" w:sz="6" w:space="1"/>
      </w:pBdr>
      <w:tabs>
        <w:tab w:val="center" w:pos="4153"/>
        <w:tab w:val="right" w:pos="8306"/>
      </w:tabs>
      <w:jc w:val="center"/>
    </w:pPr>
    <w:rPr>
      <w:sz w:val="18"/>
      <w:szCs w:val="18"/>
    </w:rPr>
  </w:style>
  <w:style w:type="paragraph" w:styleId="7">
    <w:name w:val="Title"/>
    <w:basedOn w:val="1"/>
    <w:next w:val="1"/>
    <w:autoRedefine/>
    <w:qFormat/>
    <w:uiPriority w:val="10"/>
    <w:pPr>
      <w:spacing w:before="240" w:after="60"/>
      <w:jc w:val="center"/>
      <w:outlineLvl w:val="0"/>
    </w:pPr>
    <w:rPr>
      <w:rFonts w:ascii="Cambria" w:hAnsi="Cambria"/>
      <w:b/>
      <w:bCs/>
      <w:sz w:val="32"/>
      <w:szCs w:val="32"/>
    </w:rPr>
  </w:style>
  <w:style w:type="paragraph" w:styleId="8">
    <w:name w:val="Body Text First Indent"/>
    <w:basedOn w:val="4"/>
    <w:autoRedefine/>
    <w:unhideWhenUsed/>
    <w:qFormat/>
    <w:uiPriority w:val="99"/>
    <w:pPr>
      <w:widowControl w:val="0"/>
      <w:ind w:left="600" w:firstLine="420" w:firstLineChars="100"/>
      <w:jc w:val="both"/>
    </w:pPr>
    <w:rPr>
      <w:rFonts w:ascii="宋体" w:hAnsi="宋体" w:eastAsia="宋体" w:cs="Times New Roman"/>
      <w:kern w:val="2"/>
      <w:sz w:val="24"/>
      <w:szCs w:val="24"/>
    </w:rPr>
  </w:style>
  <w:style w:type="table" w:styleId="10">
    <w:name w:val="Table Grid"/>
    <w:basedOn w:val="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table" w:customStyle="1" w:styleId="13">
    <w:name w:val="Table Normal"/>
    <w:autoRedefine/>
    <w:semiHidden/>
    <w:unhideWhenUsed/>
    <w:qFormat/>
    <w:uiPriority w:val="0"/>
    <w:tblPr>
      <w:tblCellMar>
        <w:top w:w="0" w:type="dxa"/>
        <w:left w:w="0" w:type="dxa"/>
        <w:bottom w:w="0" w:type="dxa"/>
        <w:right w:w="0" w:type="dxa"/>
      </w:tblCellMar>
    </w:tblPr>
  </w:style>
  <w:style w:type="paragraph" w:customStyle="1" w:styleId="14">
    <w:name w:val="列出段落1"/>
    <w:basedOn w:val="1"/>
    <w:autoRedefine/>
    <w:qFormat/>
    <w:uiPriority w:val="34"/>
    <w:pPr>
      <w:ind w:firstLine="420" w:firstLineChars="200"/>
    </w:pPr>
  </w:style>
  <w:style w:type="paragraph" w:customStyle="1" w:styleId="15">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6">
    <w:name w:val="页眉 字符"/>
    <w:basedOn w:val="11"/>
    <w:link w:val="6"/>
    <w:autoRedefine/>
    <w:qFormat/>
    <w:uiPriority w:val="0"/>
    <w:rPr>
      <w:rFonts w:ascii="Arial" w:hAnsi="Arial" w:eastAsia="Arial" w:cs="Arial"/>
      <w:snapToGrid w:val="0"/>
      <w:color w:val="000000"/>
      <w:sz w:val="18"/>
      <w:szCs w:val="18"/>
    </w:rPr>
  </w:style>
  <w:style w:type="character" w:customStyle="1" w:styleId="17">
    <w:name w:val="页脚 字符"/>
    <w:basedOn w:val="11"/>
    <w:link w:val="5"/>
    <w:autoRedefine/>
    <w:qFormat/>
    <w:uiPriority w:val="0"/>
    <w:rPr>
      <w:rFonts w:ascii="Arial" w:hAnsi="Arial" w:eastAsia="Arial" w:cs="Arial"/>
      <w:snapToGrid w:val="0"/>
      <w:color w:val="000000"/>
      <w:sz w:val="18"/>
      <w:szCs w:val="18"/>
    </w:rPr>
  </w:style>
  <w:style w:type="paragraph" w:styleId="18">
    <w:name w:val="List Paragraph"/>
    <w:basedOn w:val="1"/>
    <w:autoRedefine/>
    <w:qFormat/>
    <w:uiPriority w:val="34"/>
    <w:pPr>
      <w:ind w:firstLine="420" w:firstLineChars="200"/>
    </w:pPr>
  </w:style>
  <w:style w:type="paragraph" w:styleId="19">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0">
    <w:name w:val="font21"/>
    <w:basedOn w:val="11"/>
    <w:autoRedefine/>
    <w:qFormat/>
    <w:uiPriority w:val="0"/>
    <w:rPr>
      <w:rFonts w:hint="eastAsia" w:ascii="仿宋" w:hAnsi="仿宋" w:eastAsia="仿宋" w:cs="仿宋"/>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20</Pages>
  <Words>5585</Words>
  <Characters>5723</Characters>
  <Lines>48</Lines>
  <Paragraphs>13</Paragraphs>
  <TotalTime>0</TotalTime>
  <ScaleCrop>false</ScaleCrop>
  <LinksUpToDate>false</LinksUpToDate>
  <CharactersWithSpaces>6619</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Yyh</cp:lastModifiedBy>
  <dcterms:modified xsi:type="dcterms:W3CDTF">2024-06-12T09:25:04Z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7624AA398FCA48B29EDE13EC3913FCAA_12</vt:lpwstr>
  </property>
</Properties>
</file>