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心脏开放及腔镜用牵开器</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比选（2024）176号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拟对心脏开放及腔镜用牵开器</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331"/>
        <w:gridCol w:w="2600"/>
        <w:gridCol w:w="2731"/>
        <w:gridCol w:w="2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项目预算</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心胸外科</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心脏开放及腔镜用牵开器</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16.12万</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1套</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8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570"/>
        <w:gridCol w:w="1116"/>
        <w:gridCol w:w="2115"/>
        <w:gridCol w:w="2124"/>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30" w:name="_GoBack"/>
            <w:r>
              <w:rPr>
                <w:rFonts w:hint="eastAsia" w:ascii="宋体" w:hAnsi="宋体" w:eastAsia="宋体" w:cs="宋体"/>
                <w:b/>
                <w:bCs/>
                <w:i w:val="0"/>
                <w:iCs w:val="0"/>
                <w:color w:val="000000"/>
                <w:kern w:val="0"/>
                <w:sz w:val="28"/>
                <w:szCs w:val="28"/>
                <w:u w:val="none"/>
                <w:lang w:val="en-US" w:eastAsia="zh-CN" w:bidi="ar"/>
              </w:rPr>
              <w:t>包号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21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z w:val="28"/>
                <w:szCs w:val="28"/>
                <w:u w:val="none"/>
              </w:rPr>
              <w:t>数量需求</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4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心胸外科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胸骨牵开器</w:t>
            </w:r>
          </w:p>
        </w:tc>
        <w:tc>
          <w:tcPr>
            <w:tcW w:w="21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1、材质：不锈钢；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2、叶片尺寸：（ 18*21mm）±3mm；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3、框架尺寸：(95*75mm)±3mm。</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212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49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胸骨牵开器</w:t>
            </w:r>
          </w:p>
        </w:tc>
        <w:tc>
          <w:tcPr>
            <w:tcW w:w="21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1、材质：铝合金；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2、叶片尺寸(12*15mm)±3mm；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3、框架尺寸:(100*70mm)±3mm。</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2125"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49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小切口牵开器</w:t>
            </w:r>
          </w:p>
        </w:tc>
        <w:tc>
          <w:tcPr>
            <w:tcW w:w="21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1、材质：不锈钢；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2、双关节；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3、尺寸大小：（210mm*115mm*135mm）±5mm；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4、含2组叶片，叶片大小分别为（36*36mm）±3mm；（53*36mm）±3mm；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5、提供配套叶片夹持镊。</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212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bookmarkEnd w:id="30"/>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质保期</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1.1 质保期:验收合格后(含所有部件和配件) 1年，非人为因素损坏免费维修。</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1.2质保期内，售后服务商要确保设备正常运行，器械的功能和技术指标达到投标文件和国家相关标准，质保期内，因器械各种故障应由售后服务商免费提供技术服务、维修，医院在质保期内无需支付任何费用。</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2.1产品验收合格后付全款，该款额在验收合格并收到发票后3个月内付款。</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3.售后服务</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3.1. 维修响应时间≤8小时，到场时间≤24小时。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3.2.售后服务方面的其他承诺(安装、定期巡检等) 。</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3.3.需满足质保期后的维修维保，并在报价单后附上售后服务承诺。</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4.1验收中发现产品达不到验收标准或合同规定的性能指标，卖方必须更换设备，并且赔偿由此给用户造成的损失。</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5.交货期</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5.1.交货期:合同签订后3个月内。</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5.2交货地点：绵阳市中心医院“材料库房”。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482266098"/>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11764042"/>
      <w:bookmarkStart w:id="28" w:name="_Toc443393358"/>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2694B3-1101-41E7-B8E3-B9B28EDBBF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32BD903-1986-4E40-8787-491F4E8DB99F}"/>
  </w:font>
  <w:font w:name="仿宋">
    <w:panose1 w:val="02010609060101010101"/>
    <w:charset w:val="86"/>
    <w:family w:val="modern"/>
    <w:pitch w:val="default"/>
    <w:sig w:usb0="800002BF" w:usb1="38CF7CFA" w:usb2="00000016" w:usb3="00000000" w:csb0="00040001" w:csb1="00000000"/>
    <w:embedRegular r:id="rId3" w:fontKey="{CC447909-1D76-4325-817E-36C4E2DBD44F}"/>
  </w:font>
  <w:font w:name="方正仿宋_GB2312">
    <w:panose1 w:val="02000000000000000000"/>
    <w:charset w:val="86"/>
    <w:family w:val="auto"/>
    <w:pitch w:val="default"/>
    <w:sig w:usb0="A00002BF" w:usb1="184F6CFA" w:usb2="00000012" w:usb3="00000000" w:csb0="00040001" w:csb1="00000000"/>
    <w:embedRegular r:id="rId4" w:fontKey="{BB0653FE-D252-4457-BB9F-F10908B39916}"/>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9CF2327"/>
    <w:rsid w:val="0D355B8A"/>
    <w:rsid w:val="0E404E0B"/>
    <w:rsid w:val="0EF33893"/>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8941AE2"/>
    <w:rsid w:val="3A0374CF"/>
    <w:rsid w:val="3A7B24CC"/>
    <w:rsid w:val="3B1760F3"/>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B28211D"/>
    <w:rsid w:val="5C33726B"/>
    <w:rsid w:val="5E3729E9"/>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51869EF"/>
    <w:rsid w:val="766D3D59"/>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5227</Words>
  <Characters>6528</Characters>
  <Lines>11</Lines>
  <Paragraphs>3</Paragraphs>
  <TotalTime>0</TotalTime>
  <ScaleCrop>false</ScaleCrop>
  <LinksUpToDate>false</LinksUpToDate>
  <CharactersWithSpaces>7779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2024-06-04T03:44:02Z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AF47447D8104461B998ECB57C05C69DD_13</vt:lpwstr>
  </property>
</Properties>
</file>