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 xml:space="preserve"> 乙型肝炎病毒核心抗体测定试剂盒 （化学发光免疫分析法））</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比选（2024）168号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 异常凝血酶原检测试剂盒（磁微粒化学发光法）</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乙型肝炎病毒核心抗体测定试剂盒 （化学发光免疫分析法）</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乙型肝炎病毒核心抗体测定试剂盒 （化学发光免疫分析法）</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1、用于体外定量检测人体血清和（或）血浆中的乙型肝炎病毒核心抗体的含量。2、适配仪器：迈瑞全自动化学发光免疫分析仪CL-8000i。</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4CFC80-AE5C-4E4A-818E-0E050BC750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C4BE14E-E835-46CF-9034-C3450D73047E}"/>
  </w:font>
  <w:font w:name="仿宋">
    <w:panose1 w:val="02010609060101010101"/>
    <w:charset w:val="86"/>
    <w:family w:val="modern"/>
    <w:pitch w:val="default"/>
    <w:sig w:usb0="800002BF" w:usb1="38CF7CFA" w:usb2="00000016" w:usb3="00000000" w:csb0="00040001" w:csb1="00000000"/>
    <w:embedRegular r:id="rId3" w:fontKey="{98ABEADF-D314-4B35-94B8-FF5312755C1F}"/>
  </w:font>
  <w:font w:name="方正仿宋_GB2312">
    <w:panose1 w:val="02000000000000000000"/>
    <w:charset w:val="86"/>
    <w:family w:val="auto"/>
    <w:pitch w:val="default"/>
    <w:sig w:usb0="A00002BF" w:usb1="184F6CFA" w:usb2="00000012" w:usb3="00000000" w:csb0="00040001" w:csb1="00000000"/>
    <w:embedRegular r:id="rId4" w:fontKey="{BFAC30DF-CCE5-4FC7-86C8-7904706C68C1}"/>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DED1766"/>
    <w:rsid w:val="6E391BE5"/>
    <w:rsid w:val="6EB14D27"/>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2024-06-03T08:44:59Z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A69386D6DD754A82BAABA6F8F357423D_13</vt:lpwstr>
  </property>
</Properties>
</file>