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一次性使用体腔热灌注治疗管道组件及配套设备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比选（2024）151号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拟对一次性使用体腔热灌注治疗管道组件及配套设备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普通外科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一次性使用体腔热灌注治疗管道组件及配套设备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普通外科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一次性使用体腔热灌注治疗管道组件及配套设备</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产品由一次性使用体腔热灌注治疗管路（热交换器、泵管、储液袋，过滤器、测温口、配管、连接接头、管夹）、一次性使用引流管组成。</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治疗管路与引流管配合使用，用于热灌注治疗时治疗液体的体外加热、循环。</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产品耐温范围0-50度。</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提供配套设备及报价。</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提供产品使用培训。</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3DAEB9-740B-4763-817B-C3F603DFA8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34B531C8-BB0A-49AA-8241-2C299CF6E67C}"/>
  </w:font>
  <w:font w:name="仿宋">
    <w:panose1 w:val="02010609060101010101"/>
    <w:charset w:val="86"/>
    <w:family w:val="modern"/>
    <w:pitch w:val="default"/>
    <w:sig w:usb0="800002BF" w:usb1="38CF7CFA" w:usb2="00000016" w:usb3="00000000" w:csb0="00040001" w:csb1="00000000"/>
    <w:embedRegular r:id="rId3" w:fontKey="{BA422DA7-A69F-4C6A-9EF1-3D76C2A831C7}"/>
  </w:font>
  <w:font w:name="方正仿宋_GB2312">
    <w:panose1 w:val="02000000000000000000"/>
    <w:charset w:val="86"/>
    <w:family w:val="auto"/>
    <w:pitch w:val="default"/>
    <w:sig w:usb0="A00002BF" w:usb1="184F6CFA" w:usb2="00000012" w:usb3="00000000" w:csb0="00040001" w:csb1="00000000"/>
    <w:embedRegular r:id="rId4" w:fontKey="{82BE54C1-B0AD-4AFC-83D4-45DC634B2E6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2024-06-03T00:43:41Z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C0DFC4D372DC4D65803834CCD9FA72B2_13</vt:lpwstr>
  </property>
</Properties>
</file>