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hint="eastAsia" w:ascii="宋体" w:hAnsi="宋体" w:eastAsia="黑体" w:cs="宋体"/>
          <w:color w:val="auto"/>
          <w:kern w:val="2"/>
          <w:sz w:val="24"/>
          <w:szCs w:val="24"/>
          <w:lang w:val="en-US" w:eastAsia="zh-CN" w:bidi="ar-SA"/>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val="en-US" w:eastAsia="zh-CN"/>
        </w:rPr>
        <w:t>电缆</w:t>
      </w: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w:t>
      </w:r>
      <w:r>
        <w:rPr>
          <w:rFonts w:hint="eastAsia" w:ascii="黑体" w:hAnsi="黑体" w:eastAsia="黑体" w:cs="黑体"/>
          <w:spacing w:val="7"/>
          <w:sz w:val="36"/>
          <w:szCs w:val="36"/>
          <w:lang w:val="en-US" w:eastAsia="zh-CN"/>
        </w:rPr>
        <w:t>紧急采购</w:t>
      </w:r>
      <w:r>
        <w:rPr>
          <w:rFonts w:hint="eastAsia" w:ascii="黑体" w:hAnsi="黑体" w:eastAsia="黑体" w:cs="黑体"/>
          <w:spacing w:val="7"/>
          <w:sz w:val="36"/>
          <w:szCs w:val="36"/>
        </w:rPr>
        <w:t>（202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005</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电缆</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line="500" w:lineRule="exact"/>
        <w:jc w:val="both"/>
        <w:rPr>
          <w:rFonts w:hint="eastAsia" w:ascii="仿宋" w:hAnsi="仿宋" w:eastAsia="仿宋" w:cs="仿宋"/>
          <w:bCs/>
          <w:sz w:val="24"/>
          <w:lang w:val="en-US" w:eastAsia="zh-CN"/>
        </w:rPr>
      </w:pPr>
      <w:r>
        <w:rPr>
          <w:rFonts w:hint="eastAsia" w:ascii="仿宋" w:hAnsi="仿宋" w:eastAsia="仿宋" w:cs="仿宋"/>
          <w:bCs/>
          <w:sz w:val="24"/>
          <w:lang w:eastAsia="zh-CN"/>
        </w:rPr>
        <w:t>1.手术室</w:t>
      </w:r>
      <w:r>
        <w:rPr>
          <w:rFonts w:hint="eastAsia" w:ascii="仿宋" w:hAnsi="仿宋" w:eastAsia="仿宋" w:cs="仿宋"/>
          <w:bCs/>
          <w:sz w:val="24"/>
          <w:lang w:val="en-US" w:eastAsia="zh-CN"/>
        </w:rPr>
        <w:t>办公</w:t>
      </w:r>
      <w:r>
        <w:rPr>
          <w:rFonts w:hint="eastAsia" w:ascii="仿宋" w:hAnsi="仿宋" w:eastAsia="仿宋" w:cs="仿宋"/>
          <w:bCs/>
          <w:sz w:val="24"/>
          <w:lang w:eastAsia="zh-CN"/>
        </w:rPr>
        <w:t>生活区</w:t>
      </w:r>
      <w:r>
        <w:rPr>
          <w:rFonts w:hint="eastAsia" w:ascii="仿宋" w:hAnsi="仿宋" w:eastAsia="仿宋" w:cs="仿宋"/>
          <w:bCs/>
          <w:sz w:val="24"/>
          <w:lang w:val="en-US" w:eastAsia="zh-CN"/>
        </w:rPr>
        <w:t>工程需</w:t>
      </w:r>
      <w:r>
        <w:rPr>
          <w:rFonts w:hint="eastAsia" w:ascii="仿宋" w:hAnsi="仿宋" w:eastAsia="仿宋" w:cs="仿宋"/>
          <w:bCs/>
          <w:sz w:val="24"/>
          <w:lang w:eastAsia="zh-CN"/>
        </w:rPr>
        <w:t>安装多联机</w:t>
      </w:r>
      <w:r>
        <w:rPr>
          <w:rFonts w:hint="eastAsia" w:ascii="仿宋" w:hAnsi="仿宋" w:eastAsia="仿宋" w:cs="仿宋"/>
          <w:bCs/>
          <w:sz w:val="24"/>
          <w:lang w:val="en-US" w:eastAsia="zh-CN"/>
        </w:rPr>
        <w:t>空调</w:t>
      </w:r>
      <w:r>
        <w:rPr>
          <w:rFonts w:hint="eastAsia" w:ascii="仿宋" w:hAnsi="仿宋" w:eastAsia="仿宋" w:cs="仿宋"/>
          <w:bCs/>
          <w:sz w:val="24"/>
          <w:lang w:eastAsia="zh-CN"/>
        </w:rPr>
        <w:t>，功率</w:t>
      </w:r>
      <w:r>
        <w:rPr>
          <w:rFonts w:hint="eastAsia" w:ascii="仿宋" w:hAnsi="仿宋" w:eastAsia="仿宋" w:cs="仿宋"/>
          <w:bCs/>
          <w:sz w:val="24"/>
          <w:lang w:val="en-US" w:eastAsia="zh-CN"/>
        </w:rPr>
        <w:t>约94KW，需敷设电缆。</w:t>
      </w:r>
    </w:p>
    <w:p>
      <w:pPr>
        <w:spacing w:line="500" w:lineRule="exact"/>
        <w:jc w:val="both"/>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bCs/>
          <w:sz w:val="24"/>
          <w:lang w:eastAsia="zh-CN"/>
        </w:rPr>
        <w:t>2.</w:t>
      </w:r>
      <w:r>
        <w:rPr>
          <w:rFonts w:hint="eastAsia" w:ascii="仿宋" w:hAnsi="仿宋" w:eastAsia="仿宋" w:cs="仿宋"/>
          <w:bCs/>
          <w:sz w:val="24"/>
          <w:lang w:val="en-US" w:eastAsia="zh-CN"/>
        </w:rPr>
        <w:t>CT六室安装CT设备电源及空调设备电源，功率合计约150KW,分别需敷设电缆。</w:t>
      </w:r>
      <w:bookmarkStart w:id="30" w:name="_GoBack"/>
      <w:bookmarkEnd w:id="30"/>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pStyle w:val="12"/>
        <w:rPr>
          <w:rFonts w:hint="default" w:eastAsia="仿宋"/>
          <w:lang w:val="en-US" w:eastAsia="zh-CN"/>
        </w:rPr>
      </w:pPr>
      <w:r>
        <w:rPr>
          <w:rFonts w:hint="eastAsia" w:ascii="仿宋" w:hAnsi="仿宋" w:eastAsia="仿宋" w:cs="仿宋"/>
          <w:spacing w:val="8"/>
          <w:sz w:val="31"/>
          <w:szCs w:val="31"/>
          <w:lang w:val="en-US" w:eastAsia="zh-CN"/>
        </w:rPr>
        <w:t xml:space="preserve">   </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pStyle w:val="3"/>
        <w:rPr>
          <w:rFonts w:hint="eastAsia" w:eastAsia="华文细黑"/>
          <w:lang w:eastAsia="zh-CN"/>
        </w:rPr>
      </w:pPr>
      <w:r>
        <w:rPr>
          <w:rFonts w:hint="eastAsia"/>
          <w:lang w:eastAsia="zh-CN"/>
        </w:rPr>
        <w:t>电缆购买数量及规格如下：</w:t>
      </w:r>
    </w:p>
    <w:p/>
    <w:tbl>
      <w:tblPr>
        <w:tblStyle w:val="9"/>
        <w:tblpPr w:leftFromText="180" w:rightFromText="180" w:vertAnchor="text" w:horzAnchor="page" w:tblpX="1740" w:tblpY="472"/>
        <w:tblOverlap w:val="never"/>
        <w:tblW w:w="8549" w:type="dxa"/>
        <w:tblInd w:w="0" w:type="dxa"/>
        <w:tblLayout w:type="autofit"/>
        <w:tblCellMar>
          <w:top w:w="0" w:type="dxa"/>
          <w:left w:w="108" w:type="dxa"/>
          <w:bottom w:w="0" w:type="dxa"/>
          <w:right w:w="108" w:type="dxa"/>
        </w:tblCellMar>
      </w:tblPr>
      <w:tblGrid>
        <w:gridCol w:w="756"/>
        <w:gridCol w:w="3290"/>
        <w:gridCol w:w="2260"/>
        <w:gridCol w:w="2243"/>
      </w:tblGrid>
      <w:tr>
        <w:tblPrEx>
          <w:tblCellMar>
            <w:top w:w="0" w:type="dxa"/>
            <w:left w:w="108" w:type="dxa"/>
            <w:bottom w:w="0" w:type="dxa"/>
            <w:right w:w="108" w:type="dxa"/>
          </w:tblCellMar>
        </w:tblPrEx>
        <w:trPr>
          <w:trHeight w:val="884" w:hRule="atLeast"/>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序号</w:t>
            </w:r>
          </w:p>
        </w:tc>
        <w:tc>
          <w:tcPr>
            <w:tcW w:w="331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规格</w:t>
            </w:r>
          </w:p>
        </w:tc>
        <w:tc>
          <w:tcPr>
            <w:tcW w:w="2308"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cs="仿宋"/>
                <w:sz w:val="24"/>
                <w:lang w:eastAsia="zh-CN"/>
              </w:rPr>
            </w:pPr>
            <w:r>
              <w:rPr>
                <w:rFonts w:hint="eastAsia" w:ascii="仿宋" w:hAnsi="仿宋" w:eastAsia="仿宋" w:cs="仿宋"/>
                <w:sz w:val="24"/>
                <w:lang w:eastAsia="zh-CN"/>
              </w:rPr>
              <w:t>采购数量（米）</w:t>
            </w:r>
          </w:p>
        </w:tc>
        <w:tc>
          <w:tcPr>
            <w:tcW w:w="2308" w:type="dxa"/>
            <w:tcBorders>
              <w:top w:val="single" w:color="auto" w:sz="4" w:space="0"/>
              <w:left w:val="nil"/>
              <w:bottom w:val="single" w:color="auto" w:sz="4" w:space="0"/>
              <w:right w:val="single" w:color="auto" w:sz="4" w:space="0"/>
            </w:tcBorders>
            <w:noWrap w:val="0"/>
            <w:vAlign w:val="center"/>
          </w:tcPr>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单价</w:t>
            </w:r>
          </w:p>
        </w:tc>
      </w:tr>
      <w:tr>
        <w:tblPrEx>
          <w:tblCellMar>
            <w:top w:w="0" w:type="dxa"/>
            <w:left w:w="108" w:type="dxa"/>
            <w:bottom w:w="0" w:type="dxa"/>
            <w:right w:w="108" w:type="dxa"/>
          </w:tblCellMar>
        </w:tblPrEx>
        <w:trPr>
          <w:trHeight w:val="884" w:hRule="atLeast"/>
        </w:trPr>
        <w:tc>
          <w:tcPr>
            <w:tcW w:w="618" w:type="dxa"/>
            <w:tcBorders>
              <w:top w:val="nil"/>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3315" w:type="dxa"/>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kern w:val="0"/>
                <w:sz w:val="24"/>
                <w:szCs w:val="24"/>
                <w:lang w:val="en-US" w:eastAsia="zh-CN"/>
              </w:rPr>
              <w:t>WDZBW--yjv-4x95+1x50</w:t>
            </w:r>
            <w:r>
              <w:rPr>
                <w:rFonts w:hint="eastAsia" w:ascii="仿宋" w:hAnsi="仿宋" w:eastAsia="仿宋" w:cs="仿宋"/>
                <w:sz w:val="24"/>
              </w:rPr>
              <w:t xml:space="preserve">  </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113</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lang w:val="en-US" w:eastAsia="zh-CN"/>
              </w:rPr>
            </w:pPr>
          </w:p>
        </w:tc>
      </w:tr>
      <w:tr>
        <w:tblPrEx>
          <w:tblCellMar>
            <w:top w:w="0" w:type="dxa"/>
            <w:left w:w="108" w:type="dxa"/>
            <w:bottom w:w="0" w:type="dxa"/>
            <w:right w:w="108" w:type="dxa"/>
          </w:tblCellMar>
        </w:tblPrEx>
        <w:trPr>
          <w:trHeight w:val="884" w:hRule="atLeast"/>
        </w:trPr>
        <w:tc>
          <w:tcPr>
            <w:tcW w:w="618" w:type="dxa"/>
            <w:tcBorders>
              <w:top w:val="nil"/>
              <w:left w:val="single" w:color="auto" w:sz="4" w:space="0"/>
              <w:bottom w:val="single" w:color="auto" w:sz="4" w:space="0"/>
              <w:right w:val="single" w:color="auto" w:sz="4" w:space="0"/>
            </w:tcBorders>
            <w:noWrap w:val="0"/>
            <w:vAlign w:val="center"/>
          </w:tcPr>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3315" w:type="dxa"/>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kern w:val="0"/>
                <w:sz w:val="24"/>
                <w:szCs w:val="24"/>
                <w:lang w:val="en-US" w:eastAsia="zh-CN"/>
              </w:rPr>
              <w:t>WDZBW--yjv-4x70+1x35</w:t>
            </w:r>
            <w:r>
              <w:rPr>
                <w:rFonts w:hint="eastAsia" w:ascii="仿宋" w:hAnsi="仿宋" w:eastAsia="仿宋" w:cs="仿宋"/>
                <w:sz w:val="24"/>
              </w:rPr>
              <w:t xml:space="preserve">   </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72</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lang w:val="en-US" w:eastAsia="zh-CN"/>
              </w:rPr>
            </w:pPr>
          </w:p>
        </w:tc>
      </w:tr>
      <w:tr>
        <w:tblPrEx>
          <w:tblCellMar>
            <w:top w:w="0" w:type="dxa"/>
            <w:left w:w="108" w:type="dxa"/>
            <w:bottom w:w="0" w:type="dxa"/>
            <w:right w:w="108" w:type="dxa"/>
          </w:tblCellMar>
        </w:tblPrEx>
        <w:trPr>
          <w:trHeight w:val="1759" w:hRule="atLeast"/>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lang w:val="en-US" w:eastAsia="zh-CN"/>
              </w:rPr>
            </w:pPr>
            <w:r>
              <w:rPr>
                <w:rFonts w:hint="eastAsia" w:ascii="仿宋" w:hAnsi="仿宋" w:eastAsia="仿宋" w:cs="仿宋"/>
                <w:kern w:val="0"/>
                <w:sz w:val="24"/>
                <w:szCs w:val="24"/>
                <w:lang w:val="en-US" w:eastAsia="zh-CN"/>
              </w:rPr>
              <w:t>WDZBW--yjv-5x10</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72</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lang w:val="en-US" w:eastAsia="zh-CN"/>
              </w:rPr>
            </w:pPr>
          </w:p>
        </w:tc>
      </w:tr>
    </w:tbl>
    <w:p>
      <w:pPr>
        <w:spacing w:before="218" w:line="357" w:lineRule="auto"/>
        <w:ind w:left="37" w:right="14" w:firstLine="642"/>
        <w:rPr>
          <w:rFonts w:hint="eastAsia" w:ascii="仿宋" w:hAnsi="仿宋" w:eastAsia="仿宋" w:cs="仿宋"/>
          <w:spacing w:val="8"/>
          <w:sz w:val="31"/>
          <w:szCs w:val="31"/>
        </w:rPr>
      </w:pPr>
    </w:p>
    <w:p>
      <w:pPr>
        <w:spacing w:before="218" w:line="357" w:lineRule="auto"/>
        <w:ind w:left="37" w:right="14" w:firstLine="642"/>
        <w:rPr>
          <w:rFonts w:hint="eastAsia" w:ascii="仿宋" w:hAnsi="仿宋" w:eastAsia="仿宋" w:cs="仿宋"/>
          <w:spacing w:val="8"/>
          <w:sz w:val="31"/>
          <w:szCs w:val="31"/>
        </w:rPr>
      </w:pPr>
    </w:p>
    <w:p>
      <w:pPr>
        <w:spacing w:before="218" w:line="357" w:lineRule="auto"/>
        <w:ind w:left="37" w:right="14" w:firstLine="642"/>
        <w:rPr>
          <w:rFonts w:hint="eastAsia" w:ascii="仿宋" w:hAnsi="仿宋" w:eastAsia="仿宋" w:cs="仿宋"/>
          <w:spacing w:val="8"/>
          <w:sz w:val="31"/>
          <w:szCs w:val="31"/>
        </w:rPr>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1、成交供应商需在5日内与采购人签订合同，成交供应商应在签订合同后10日内提供货物并进行验收。</w:t>
      </w:r>
    </w:p>
    <w:p>
      <w:pPr>
        <w:pStyle w:val="19"/>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2、付款方式：全部货物最终验收合格后，采购人收到中标人提交完备票据凭证资料后10日内支付95%货款，剩余5%货款在验收结束壹年后15日内进行无息支付。</w:t>
      </w:r>
    </w:p>
    <w:p>
      <w:pPr>
        <w:pStyle w:val="19"/>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3、验收要求：</w:t>
      </w:r>
    </w:p>
    <w:p>
      <w:pPr>
        <w:pStyle w:val="19"/>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（1）、项目由采购人组织验收，采购人将严格依据招标文件、响应文件以及国家相关法律法规、行业标准要求进行验收。</w:t>
      </w:r>
    </w:p>
    <w:p>
      <w:pPr>
        <w:pStyle w:val="19"/>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（2）、由于成交供应商责任未按本合同规定的日期交付，每逾期一天，成交供应商须偿付给采购人500元人民币违约金。</w:t>
      </w:r>
    </w:p>
    <w:p>
      <w:pPr>
        <w:ind w:left="72"/>
        <w:outlineLvl w:val="0"/>
        <w:rPr>
          <w:rFonts w:ascii="仿宋" w:hAnsi="仿宋" w:eastAsia="仿宋" w:cs="仿宋"/>
          <w:sz w:val="31"/>
          <w:szCs w:val="31"/>
        </w:rPr>
      </w:pPr>
      <w:r>
        <w:rPr>
          <w:rFonts w:hint="eastAsia" w:ascii="仿宋" w:hAnsi="仿宋" w:eastAsia="仿宋" w:cs="仿宋"/>
          <w:kern w:val="2"/>
          <w:sz w:val="24"/>
          <w:szCs w:val="24"/>
          <w:lang w:val="en-US" w:eastAsia="zh-CN" w:bidi="ar-SA"/>
        </w:rPr>
        <w:t>（3）、成交供应商必须保证产品系正规产品，提供产品合格证、说明书等资料</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val="en-US" w:eastAsia="zh-CN"/>
        </w:rPr>
        <w:t>电缆相关介绍</w:t>
      </w:r>
      <w:r>
        <w:rPr>
          <w:rFonts w:hint="eastAsia" w:ascii="仿宋" w:hAnsi="仿宋" w:eastAsia="仿宋" w:cs="仿宋"/>
          <w:snapToGrid w:val="0"/>
          <w:spacing w:val="-1"/>
          <w:sz w:val="31"/>
          <w:szCs w:val="31"/>
        </w:rPr>
        <w:t>。</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pPr>
        <w:pStyle w:val="12"/>
        <w:ind w:firstLine="616" w:firstLineChars="200"/>
        <w:rPr>
          <w:rFonts w:ascii="仿宋" w:hAnsi="仿宋" w:eastAsia="仿宋" w:cs="仿宋"/>
          <w:snapToGrid w:val="0"/>
          <w:spacing w:val="-1"/>
          <w:sz w:val="31"/>
          <w:szCs w:val="31"/>
        </w:rPr>
      </w:pP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eastAsia="宋体"/>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eastAsia="zh-CN"/>
        </w:rPr>
        <w:t>：</w:t>
      </w:r>
      <w:r>
        <w:rPr>
          <w:rFonts w:hint="eastAsia" w:ascii="仿宋" w:hAnsi="仿宋" w:eastAsia="仿宋" w:cs="仿宋"/>
          <w:spacing w:val="8"/>
          <w:sz w:val="31"/>
          <w:szCs w:val="31"/>
          <w:lang w:val="en-US" w:eastAsia="zh-CN"/>
        </w:rPr>
        <w:t>姜</w:t>
      </w:r>
      <w:r>
        <w:rPr>
          <w:rFonts w:hint="eastAsia" w:ascii="仿宋" w:hAnsi="仿宋" w:eastAsia="仿宋" w:cs="仿宋"/>
          <w:spacing w:val="8"/>
          <w:sz w:val="31"/>
          <w:szCs w:val="31"/>
          <w:lang w:eastAsia="zh-CN"/>
        </w:rPr>
        <w:t>老师</w:t>
      </w:r>
      <w:r>
        <w:rPr>
          <w:rFonts w:hint="eastAsia" w:ascii="仿宋" w:hAnsi="仿宋" w:eastAsia="仿宋" w:cs="仿宋"/>
          <w:spacing w:val="8"/>
          <w:sz w:val="31"/>
          <w:szCs w:val="31"/>
          <w:lang w:val="en-US" w:eastAsia="zh-CN"/>
        </w:rPr>
        <w:t xml:space="preserve">   13990101029</w:t>
      </w:r>
    </w:p>
    <w:p>
      <w:pPr>
        <w:ind w:firstLine="326" w:firstLineChars="100"/>
        <w:rPr>
          <w:rFonts w:ascii="仿宋" w:hAnsi="仿宋" w:eastAsia="仿宋" w:cs="仿宋"/>
          <w:spacing w:val="8"/>
          <w:sz w:val="31"/>
          <w:szCs w:val="31"/>
        </w:rPr>
      </w:pPr>
    </w:p>
    <w:p>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3563815"/>
      <w:bookmarkStart w:id="2" w:name="_Toc482266098"/>
      <w:bookmarkStart w:id="3" w:name="_Toc87974341"/>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13563872"/>
      <w:bookmarkStart w:id="8" w:name="_Toc443397365"/>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2"/>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2"/>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3563879"/>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43397367"/>
      <w:bookmarkStart w:id="27" w:name="_Toc443393358"/>
      <w:bookmarkStart w:id="28" w:name="_Toc482266104"/>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BB3123-7100-4C2E-9942-E52768483B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B191DDC1-B640-4DD6-AEA1-1A88EF0179CC}"/>
  </w:font>
  <w:font w:name="微软雅黑">
    <w:panose1 w:val="020B0503020204020204"/>
    <w:charset w:val="86"/>
    <w:family w:val="swiss"/>
    <w:pitch w:val="default"/>
    <w:sig w:usb0="80000287" w:usb1="2ACF3C50" w:usb2="00000016" w:usb3="00000000" w:csb0="0004001F" w:csb1="00000000"/>
    <w:embedRegular r:id="rId3" w:fontKey="{461DB3E0-CCC0-44B3-A31F-B7B9D253191A}"/>
  </w:font>
  <w:font w:name="华文细黑">
    <w:panose1 w:val="02010600040101010101"/>
    <w:charset w:val="86"/>
    <w:family w:val="auto"/>
    <w:pitch w:val="default"/>
    <w:sig w:usb0="00000287" w:usb1="080F0000" w:usb2="00000000" w:usb3="00000000" w:csb0="0004009F" w:csb1="DFD70000"/>
    <w:embedRegular r:id="rId4" w:fontKey="{F72BA1E7-C5D1-433D-98C5-5970F3DB60BC}"/>
  </w:font>
  <w:font w:name="方正仿宋_GB2312">
    <w:panose1 w:val="02000000000000000000"/>
    <w:charset w:val="86"/>
    <w:family w:val="auto"/>
    <w:pitch w:val="default"/>
    <w:sig w:usb0="A00002BF" w:usb1="184F6CFA" w:usb2="00000012" w:usb3="00000000" w:csb0="00040001" w:csb1="00000000"/>
    <w:embedRegular r:id="rId5" w:fontKey="{0D0E93E4-760F-4A52-AA18-DC1B4789976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4015CB0"/>
    <w:rsid w:val="16900BC7"/>
    <w:rsid w:val="1D9936D8"/>
    <w:rsid w:val="1E500961"/>
    <w:rsid w:val="1F127F89"/>
    <w:rsid w:val="201725C8"/>
    <w:rsid w:val="29276970"/>
    <w:rsid w:val="2CB63FA3"/>
    <w:rsid w:val="4269601F"/>
    <w:rsid w:val="4B142F08"/>
    <w:rsid w:val="4D3D691B"/>
    <w:rsid w:val="4F9D48D9"/>
    <w:rsid w:val="515646EF"/>
    <w:rsid w:val="586430DB"/>
    <w:rsid w:val="5C33726B"/>
    <w:rsid w:val="74177A1C"/>
    <w:rsid w:val="78482770"/>
    <w:rsid w:val="786E5407"/>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jc w:val="center"/>
    </w:pPr>
    <w:rPr>
      <w:rFonts w:eastAsia="黑体"/>
      <w:sz w:val="44"/>
    </w:rPr>
  </w:style>
  <w:style w:type="paragraph" w:styleId="4">
    <w:name w:val="Normal Indent"/>
    <w:basedOn w:val="1"/>
    <w:autoRedefine/>
    <w:qFormat/>
    <w:uiPriority w:val="0"/>
    <w:pPr>
      <w:ind w:firstLine="420"/>
    </w:pPr>
    <w:rPr>
      <w:szCs w:val="20"/>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2"/>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 w:type="paragraph" w:customStyle="1" w:styleId="21">
    <w:name w:val="表头"/>
    <w:basedOn w:val="1"/>
    <w:autoRedefine/>
    <w:qFormat/>
    <w:uiPriority w:val="0"/>
    <w:pPr>
      <w:topLinePunct/>
      <w:spacing w:before="160" w:after="60"/>
      <w:jc w:val="center"/>
    </w:pPr>
    <w:rPr>
      <w:rFonts w:eastAsia="黑体"/>
      <w:szCs w:val="21"/>
    </w:rPr>
  </w:style>
  <w:style w:type="character" w:customStyle="1" w:styleId="22">
    <w:name w:val="font51"/>
    <w:basedOn w:val="11"/>
    <w:autoRedefine/>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4313</Words>
  <Characters>4460</Characters>
  <Lines>48</Lines>
  <Paragraphs>13</Paragraphs>
  <TotalTime>0</TotalTime>
  <ScaleCrop>false</ScaleCrop>
  <LinksUpToDate>false</LinksUpToDate>
  <CharactersWithSpaces>5360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2024-05-22T02:27:06Z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