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桌面终端安全管理系统点位扩容</w:t>
      </w:r>
      <w:r>
        <w:rPr>
          <w:rFonts w:hint="eastAsia" w:ascii="黑体" w:hAnsi="黑体" w:eastAsia="黑体" w:cs="黑体"/>
          <w:spacing w:val="8"/>
          <w:sz w:val="36"/>
          <w:szCs w:val="36"/>
        </w:rPr>
        <w:t>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4）117</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 xml:space="preserve">院拟对 </w:t>
      </w:r>
      <w:r>
        <w:rPr>
          <w:rFonts w:hint="eastAsia" w:ascii="仿宋" w:hAnsi="仿宋" w:eastAsia="仿宋" w:cs="仿宋"/>
          <w:spacing w:val="5"/>
          <w:sz w:val="31"/>
          <w:szCs w:val="31"/>
          <w:lang w:val="en-US" w:eastAsia="zh-CN"/>
        </w:rPr>
        <w:t>桌面终端安全管理系统点位扩容</w:t>
      </w:r>
      <w:r>
        <w:rPr>
          <w:rFonts w:hint="eastAsia" w:ascii="仿宋" w:hAnsi="仿宋" w:eastAsia="仿宋" w:cs="仿宋"/>
          <w:spacing w:val="5"/>
          <w:sz w:val="31"/>
          <w:szCs w:val="31"/>
        </w:rPr>
        <w:t>服务</w:t>
      </w:r>
      <w:r>
        <w:rPr>
          <w:rFonts w:hint="eastAsia" w:ascii="仿宋" w:hAnsi="仿宋" w:eastAsia="仿宋" w:cs="仿宋"/>
          <w:spacing w:val="5"/>
          <w:sz w:val="31"/>
          <w:szCs w:val="31"/>
          <w:lang w:eastAsia="zh-CN"/>
        </w:rPr>
        <w:t xml:space="preserve"> 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2"/>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36" w:leftChars="684" w:hanging="1600" w:hangingChars="5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对本院在用的桌面终端安全管理系统进行点位扩容，共计500个桌面终端安全管理点位</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3"/>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3"/>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3"/>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2"/>
        </w:numPr>
        <w:spacing w:line="500" w:lineRule="exact"/>
        <w:ind w:leftChars="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技术要求</w:t>
      </w:r>
    </w:p>
    <w:p>
      <w:pPr>
        <w:numPr>
          <w:ilvl w:val="0"/>
          <w:numId w:val="3"/>
        </w:numPr>
        <w:spacing w:line="500" w:lineRule="exact"/>
        <w:ind w:left="425" w:leftChars="0" w:hanging="425" w:firstLineChars="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★本项目基础要求</w:t>
      </w:r>
    </w:p>
    <w:p>
      <w:pPr>
        <w:spacing w:line="240" w:lineRule="auto"/>
        <w:ind w:firstLine="420" w:firstLineChars="200"/>
        <w:rPr>
          <w:rFonts w:hint="default"/>
          <w:lang w:val="en-US" w:eastAsia="zh-CN"/>
        </w:rPr>
      </w:pPr>
      <w:r>
        <w:rPr>
          <w:rFonts w:hint="eastAsia"/>
          <w:lang w:val="en-US" w:eastAsia="zh-CN"/>
        </w:rPr>
        <w:t>由投标人为采购人在用的</w:t>
      </w:r>
      <w:r>
        <w:rPr>
          <w:rFonts w:hint="eastAsia" w:ascii="宋体" w:hAnsi="宋体" w:eastAsia="宋体" w:cs="宋体"/>
          <w:bCs/>
          <w:kern w:val="0"/>
          <w:szCs w:val="21"/>
          <w:lang w:val="en-US" w:eastAsia="zh-CN"/>
        </w:rPr>
        <w:t>软件桌面终端安全管理系统</w:t>
      </w:r>
      <w:r>
        <w:rPr>
          <w:rFonts w:hint="eastAsia"/>
          <w:lang w:val="en-US" w:eastAsia="zh-CN"/>
        </w:rPr>
        <w:t>扩容500点Windows PC终端授权，提供PC终端防病毒功能、补丁管理功能和运维管控功能，必须纳入用户原有且正在使用的终端安全管理系统控制中心进行统一管理，实现数据对接，统一管控、统一配置安全策略，不能出现管理孤岛，并提供三年软件升级服务。（投标人需提供生产厂商针对此项的参数证明函复印件，并加盖公司鲜章）本项目具体情况如下：</w:t>
      </w:r>
    </w:p>
    <w:p>
      <w:pPr>
        <w:numPr>
          <w:ilvl w:val="0"/>
          <w:numId w:val="0"/>
        </w:numPr>
        <w:spacing w:line="240" w:lineRule="auto"/>
        <w:ind w:leftChars="0"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软件系统名称：桌面终端安全管理系统</w:t>
      </w:r>
    </w:p>
    <w:p>
      <w:pPr>
        <w:numPr>
          <w:ilvl w:val="0"/>
          <w:numId w:val="0"/>
        </w:numPr>
        <w:spacing w:line="240" w:lineRule="auto"/>
        <w:ind w:left="420" w:leftChars="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品牌：奇安信网神</w:t>
      </w:r>
    </w:p>
    <w:p>
      <w:pPr>
        <w:numPr>
          <w:ilvl w:val="0"/>
          <w:numId w:val="0"/>
        </w:numPr>
        <w:spacing w:line="240" w:lineRule="auto"/>
        <w:ind w:firstLine="420" w:firstLineChars="200"/>
        <w:rPr>
          <w:rFonts w:hint="eastAsia" w:asciiTheme="minorEastAsia" w:hAnsiTheme="minorEastAsia" w:eastAsiaTheme="minorEastAsia" w:cstheme="minorEastAsia"/>
          <w:kern w:val="0"/>
          <w:sz w:val="21"/>
          <w:szCs w:val="21"/>
        </w:rPr>
      </w:pPr>
      <w:r>
        <w:rPr>
          <w:rFonts w:hint="eastAsia" w:ascii="宋体" w:hAnsi="宋体" w:eastAsia="宋体" w:cs="宋体"/>
          <w:bCs/>
          <w:kern w:val="0"/>
          <w:szCs w:val="21"/>
          <w:lang w:val="en-US" w:eastAsia="zh-CN"/>
        </w:rPr>
        <w:t>产品名称：360天擎终端安全管理系统</w:t>
      </w:r>
    </w:p>
    <w:p>
      <w:pPr>
        <w:numPr>
          <w:ilvl w:val="0"/>
          <w:numId w:val="0"/>
        </w:numPr>
        <w:spacing w:line="240" w:lineRule="auto"/>
        <w:ind w:firstLine="420" w:firstLineChars="200"/>
        <w:rPr>
          <w:rFonts w:hint="eastAsia" w:ascii="宋体" w:hAnsi="宋体" w:eastAsia="宋体" w:cs="宋体"/>
          <w:bCs/>
          <w:kern w:val="0"/>
          <w:szCs w:val="21"/>
          <w:lang w:val="en-US" w:eastAsia="zh-CN"/>
        </w:rPr>
      </w:pPr>
      <w:r>
        <w:rPr>
          <w:rFonts w:hint="eastAsia"/>
          <w:sz w:val="21"/>
          <w:szCs w:val="21"/>
          <w:vertAlign w:val="baseline"/>
          <w:lang w:val="en-US" w:eastAsia="zh-CN"/>
        </w:rPr>
        <w:t>产品版本：</w:t>
      </w:r>
      <w:r>
        <w:rPr>
          <w:rFonts w:hint="eastAsia" w:ascii="宋体" w:hAnsi="宋体" w:eastAsia="宋体" w:cs="宋体"/>
          <w:bCs/>
          <w:kern w:val="0"/>
          <w:szCs w:val="21"/>
          <w:lang w:val="en-US" w:eastAsia="zh-CN"/>
        </w:rPr>
        <w:t>V6.0</w:t>
      </w:r>
    </w:p>
    <w:p>
      <w:pPr>
        <w:numPr>
          <w:ilvl w:val="0"/>
          <w:numId w:val="0"/>
        </w:numPr>
        <w:spacing w:line="240" w:lineRule="auto"/>
        <w:ind w:firstLine="420" w:firstLineChars="200"/>
        <w:rPr>
          <w:rFonts w:hint="default"/>
          <w:lang w:val="en-US" w:eastAsia="zh-CN"/>
        </w:rPr>
      </w:pPr>
      <w:r>
        <w:rPr>
          <w:rFonts w:hint="eastAsia"/>
          <w:lang w:val="en-US" w:eastAsia="zh-CN"/>
        </w:rPr>
        <w:t>扩容点位数量：500个</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扩容后，产品的控制中心支持防暴力破解，采用手机APP动态令牌方式进行二次认证，针对控制中心高危操作支持动态口令验证，要求令牌APP自主研发；</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外设管理功能，支持硬件准入管理,可以对终端的USB口、1394、串口、并口、PCMCIA卡等接口进行启用和禁用控制,对USB移动存储、非USB移动存储、存储卡、冗余硬盘、打印机、扫描仪、键盘、鼠标、红外、蓝牙、摄像头、手机/平板等常用设备进行禁用管理，也支持对光盘的读写控制。（投标人需提供产品彩页证明，并加盖鲜章）。</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具备与采购人正在使用的奇安信网神态势感知系统联动，发现威胁事件后支持态势感知与控制中心进行指令下发，执行终端隔离和扫描操作。</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病毒防护概况包含：终端基础信息、病毒库版本、发现病毒数、未处理病毒数、最后查杀时间、文件防护状态、引擎使用状态、扩展病毒库版本；</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支持根据分组、计算机名称、IP地址、操作系统、在线状态等条件的组合筛选出符合条件的终端进行管理；</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支持终端密码保护功能，支持终端“防退出”密码保护、“防卸载”密码保护、防安装密码保护。</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支持设置自我保护功能，可有效防止客户端进程被恶意终止、注入、提高客户端进程、数据、配置的安全性。</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扩容后，采购人在管理控制中心登录账号输入密码错误次数超过锁定阈值后账号将被锁定，且可设置锁定时间，该时间内账号登录请求不被接受。同时应支持双因子认证登录方式，提高安全性；</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支持手动导入、导出黑白名单，添加黑白名单。支持通过文件导入添加黑白名单。</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病毒扫描：支持扫描所有文件和仅扫描程序及文档文件设置，支持对压缩包文件设置最大扫描层数和大小，当发现压缩包内存在病毒时，还需继续扫描压缩包内其他文件；</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支持按补丁类型和级别修复，补丁级别需包括：安全更新、重要补丁、功能补丁、可选补丁，支持仅安装指定补丁设置；</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支持开启自动修复漏洞，包括开机时修复，并支持随机延迟执行、间隔修复和按时间段修复，可设置延迟时间、间隔修复时间和修复时间段；</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支持按终端统计补丁安装和生效情况，支持按照终端维度统计，统计每台终端的各个级别的补丁未安装数量，以及已安装、已安装未生效、已排除的总数量，并支持导出统计报表；</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支持对互联网出口地址探测，支持对违规的互联网出口进行发现、断开网络、终端锁屏、断网+锁屏处理。支持例外白名单添加；</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支持对网卡进行防护，支持阻止终端修改IP地址、使用动态IP地址、热点创建和IPV6地址使用等，可自定义提示内容和生效时间；</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支持终端进程红名单、黑名单、白名单功能。可设置核心进程必须运行，也可保护核心进程不被结束，违规并告警；</w:t>
      </w:r>
    </w:p>
    <w:p>
      <w:pPr>
        <w:numPr>
          <w:ilvl w:val="0"/>
          <w:numId w:val="3"/>
        </w:numPr>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支持与NTP时间服务器同步，可设置同步时间间隔，使终端时间保持和时间服务器相同。支持定时公告功能。</w:t>
      </w:r>
    </w:p>
    <w:p>
      <w:pPr>
        <w:numPr>
          <w:ilvl w:val="0"/>
          <w:numId w:val="3"/>
        </w:numPr>
        <w:spacing w:line="500" w:lineRule="exact"/>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t>支持文件下载分级缓存，支持下载文件限速和日志上传限速，可设置带宽最大使量和限速时间，避免过多占用网络带宽，影响业务办公。</w:t>
      </w:r>
    </w:p>
    <w:p>
      <w:pPr>
        <w:numPr>
          <w:ilvl w:val="0"/>
          <w:numId w:val="4"/>
        </w:numPr>
        <w:spacing w:before="218" w:line="357" w:lineRule="auto"/>
        <w:ind w:left="679" w:leftChars="0" w:right="14" w:rightChars="0"/>
        <w:rPr>
          <w:rFonts w:hint="eastAsia" w:ascii="仿宋" w:hAnsi="仿宋" w:eastAsia="仿宋" w:cs="仿宋"/>
          <w:spacing w:val="8"/>
          <w:sz w:val="31"/>
          <w:szCs w:val="31"/>
        </w:rPr>
      </w:pP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（一）项目要求</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合同签订后，严格按照标书所有要求完成所有内容的建设，系统平稳运行1个月后，按照国家的相关规定要求（财政部关于进一步加强政府采购需求和履约验收管理的指导意见（财库【2016】205号）、市政务服务管理局《关于规范政务信息化项目建设方案编制审核验收管理工作的函》（绵政监函【2020】81号）、《绵阳市财政局关于进一步做好政府采购项目履约验收工作的通知》(绵财采〔2021〕15号)的要求）进行验收。</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（二）付款方式</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验收合格后，甲方收到乙方通知、合同复印件、正规发票等相关资料后，在14个工作日内支付合同总价的100%。</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（三）售后服务</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系统如发生问题，投标人应首先采用电话、微信、QQ等远程遥控支持。设立专属客服经理（需指定专人），并提供7×24小时电话热线以及远程支持，成交供应商应在接到报修或维护的通知后立即处理。不能通过远程支持解决故障的，售后技术服务团队须在24小时内到达现场进行技术支持。</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2、投标人在实施过程中须充分考虑医院业务连续性问题，做好相关应急备用方案。</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7、服务方案、人员构成等技术参数要求相关内容。</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628" w:firstLineChars="200"/>
        <w:rPr>
          <w:rFonts w:hint="default"/>
          <w:lang w:val="en-US" w:eastAsia="zh-CN"/>
        </w:rPr>
      </w:pPr>
      <w:r>
        <w:rPr>
          <w:rFonts w:hint="eastAsia" w:ascii="仿宋" w:hAnsi="仿宋" w:eastAsia="仿宋" w:cs="仿宋"/>
          <w:spacing w:val="2"/>
          <w:sz w:val="31"/>
          <w:szCs w:val="31"/>
          <w:lang w:eastAsia="zh-CN"/>
        </w:rPr>
        <w:t>1、项目咨询：</w:t>
      </w:r>
      <w:r>
        <w:rPr>
          <w:rFonts w:hint="eastAsia" w:ascii="仿宋" w:hAnsi="仿宋" w:eastAsia="仿宋" w:cs="仿宋"/>
          <w:spacing w:val="2"/>
          <w:sz w:val="31"/>
          <w:szCs w:val="31"/>
          <w:lang w:val="en-US" w:eastAsia="zh-CN"/>
        </w:rPr>
        <w:t>沈老师   15984604404</w:t>
      </w:r>
      <w:bookmarkStart w:id="30" w:name="_GoBack"/>
      <w:bookmarkEnd w:id="30"/>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9"/>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7"/>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7"/>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43397363"/>
      <w:bookmarkStart w:id="1" w:name="_Toc11832062"/>
      <w:bookmarkStart w:id="2" w:name="_Toc13563815"/>
      <w:bookmarkStart w:id="3" w:name="_Toc482266098"/>
      <w:bookmarkStart w:id="4" w:name="_Toc87974341"/>
      <w:r>
        <w:rPr>
          <w:rFonts w:hint="eastAsia" w:hAnsi="宋体"/>
          <w:b/>
          <w:color w:val="000000"/>
          <w:sz w:val="28"/>
          <w:szCs w:val="28"/>
        </w:rPr>
        <w:t>技术、服务响应表</w:t>
      </w:r>
      <w:bookmarkEnd w:id="0"/>
      <w:bookmarkEnd w:id="1"/>
      <w:bookmarkEnd w:id="2"/>
      <w:bookmarkEnd w:id="3"/>
      <w:bookmarkEnd w:id="4"/>
    </w:p>
    <w:tbl>
      <w:tblPr>
        <w:tblStyle w:val="14"/>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1356387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4"/>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809570-445D-4645-9E0F-CE861F74D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ED219D2-395C-407E-97E8-8B170DAD59E2}"/>
  </w:font>
  <w:font w:name="仿宋">
    <w:panose1 w:val="02010609060101010101"/>
    <w:charset w:val="86"/>
    <w:family w:val="modern"/>
    <w:pitch w:val="default"/>
    <w:sig w:usb0="800002BF" w:usb1="38CF7CFA" w:usb2="00000016" w:usb3="00000000" w:csb0="00040001" w:csb1="00000000"/>
    <w:embedRegular r:id="rId3" w:fontKey="{37AE08EA-4E8E-44B4-AA5D-530228DD99F8}"/>
  </w:font>
  <w:font w:name="方正仿宋_GB2312">
    <w:panose1 w:val="02000000000000000000"/>
    <w:charset w:val="86"/>
    <w:family w:val="auto"/>
    <w:pitch w:val="default"/>
    <w:sig w:usb0="A00002BF" w:usb1="184F6CFA" w:usb2="00000012" w:usb3="00000000" w:csb0="00040001" w:csb1="00000000"/>
    <w:embedRegular r:id="rId4" w:fontKey="{3A0EC224-855B-440D-885D-0B6B567E046C}"/>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96F8B21B"/>
    <w:multiLevelType w:val="singleLevel"/>
    <w:tmpl w:val="96F8B21B"/>
    <w:lvl w:ilvl="0" w:tentative="0">
      <w:start w:val="1"/>
      <w:numFmt w:val="chineseCounting"/>
      <w:suff w:val="nothing"/>
      <w:lvlText w:val="%1、"/>
      <w:lvlJc w:val="left"/>
      <w:rPr>
        <w:rFonts w:hint="eastAsia"/>
      </w:rPr>
    </w:lvl>
  </w:abstractNum>
  <w:abstractNum w:abstractNumId="2">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3">
    <w:nsid w:val="3D37F4F6"/>
    <w:multiLevelType w:val="singleLevel"/>
    <w:tmpl w:val="3D37F4F6"/>
    <w:lvl w:ilvl="0" w:tentative="0">
      <w:start w:val="1"/>
      <w:numFmt w:val="decimal"/>
      <w:lvlText w:val="%1."/>
      <w:lvlJc w:val="left"/>
      <w:pPr>
        <w:ind w:left="425" w:hanging="425"/>
      </w:pPr>
      <w:rPr>
        <w:rFonts w:hint="default" w:ascii="Times New Roman" w:hAnsi="Times New Roman" w:eastAsia="宋体" w:cs="Times New Roman"/>
        <w:sz w:val="21"/>
        <w:szCs w:val="21"/>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AF0361B"/>
    <w:rsid w:val="1E500961"/>
    <w:rsid w:val="201725C8"/>
    <w:rsid w:val="285A00C7"/>
    <w:rsid w:val="2CB63FA3"/>
    <w:rsid w:val="317B3E11"/>
    <w:rsid w:val="35636275"/>
    <w:rsid w:val="39D53981"/>
    <w:rsid w:val="3A6927DD"/>
    <w:rsid w:val="3B817F35"/>
    <w:rsid w:val="3BBE3857"/>
    <w:rsid w:val="3C3A3754"/>
    <w:rsid w:val="42160A18"/>
    <w:rsid w:val="42EF553D"/>
    <w:rsid w:val="434165BD"/>
    <w:rsid w:val="4E6879C7"/>
    <w:rsid w:val="4FA976E5"/>
    <w:rsid w:val="58E42340"/>
    <w:rsid w:val="5C33726B"/>
    <w:rsid w:val="6CC00D86"/>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jc w:val="center"/>
    </w:pPr>
    <w:rPr>
      <w:rFonts w:eastAsia="黑体"/>
      <w:sz w:val="44"/>
      <w:szCs w:val="21"/>
    </w:rPr>
  </w:style>
  <w:style w:type="paragraph" w:styleId="8">
    <w:name w:val="Body Text First Indent"/>
    <w:basedOn w:val="7"/>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9">
    <w:name w:val="Body Text Indent"/>
    <w:basedOn w:val="1"/>
    <w:next w:val="10"/>
    <w:autoRedefine/>
    <w:qFormat/>
    <w:uiPriority w:val="0"/>
    <w:pPr>
      <w:ind w:firstLine="630"/>
    </w:pPr>
    <w:rPr>
      <w:sz w:val="32"/>
      <w:szCs w:val="20"/>
    </w:rPr>
  </w:style>
  <w:style w:type="paragraph" w:customStyle="1" w:styleId="10">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1">
    <w:name w:val="footer"/>
    <w:basedOn w:val="1"/>
    <w:link w:val="21"/>
    <w:autoRedefine/>
    <w:qFormat/>
    <w:uiPriority w:val="0"/>
    <w:pPr>
      <w:tabs>
        <w:tab w:val="center" w:pos="4153"/>
        <w:tab w:val="right" w:pos="8306"/>
      </w:tabs>
    </w:pPr>
    <w:rPr>
      <w:sz w:val="18"/>
      <w:szCs w:val="18"/>
    </w:rPr>
  </w:style>
  <w:style w:type="paragraph" w:styleId="12">
    <w:name w:val="header"/>
    <w:basedOn w:val="1"/>
    <w:link w:val="20"/>
    <w:autoRedefine/>
    <w:qFormat/>
    <w:uiPriority w:val="0"/>
    <w:pPr>
      <w:pBdr>
        <w:bottom w:val="single" w:color="auto" w:sz="6" w:space="1"/>
      </w:pBdr>
      <w:tabs>
        <w:tab w:val="center" w:pos="4153"/>
        <w:tab w:val="right" w:pos="8306"/>
      </w:tabs>
      <w:jc w:val="center"/>
    </w:pPr>
    <w:rPr>
      <w:sz w:val="18"/>
      <w:szCs w:val="18"/>
    </w:rPr>
  </w:style>
  <w:style w:type="paragraph" w:styleId="13">
    <w:name w:val="Body Text First Indent 2"/>
    <w:basedOn w:val="9"/>
    <w:next w:val="1"/>
    <w:autoRedefine/>
    <w:unhideWhenUsed/>
    <w:qFormat/>
    <w:uiPriority w:val="99"/>
    <w:pPr>
      <w:ind w:firstLine="880" w:firstLineChars="200"/>
    </w:pPr>
    <w:rPr>
      <w:rFonts w:eastAsia="仿宋_GB2312"/>
      <w:szCs w:val="22"/>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列出段落1"/>
    <w:basedOn w:val="1"/>
    <w:autoRedefine/>
    <w:qFormat/>
    <w:uiPriority w:val="34"/>
    <w:pPr>
      <w:ind w:firstLine="420" w:firstLineChars="200"/>
    </w:pPr>
  </w:style>
  <w:style w:type="paragraph" w:customStyle="1" w:styleId="19">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20">
    <w:name w:val="页眉 字符"/>
    <w:basedOn w:val="16"/>
    <w:link w:val="12"/>
    <w:autoRedefine/>
    <w:qFormat/>
    <w:uiPriority w:val="0"/>
    <w:rPr>
      <w:rFonts w:ascii="Arial" w:hAnsi="Arial" w:eastAsia="Arial" w:cs="Arial"/>
      <w:snapToGrid w:val="0"/>
      <w:color w:val="000000"/>
      <w:sz w:val="18"/>
      <w:szCs w:val="18"/>
    </w:rPr>
  </w:style>
  <w:style w:type="character" w:customStyle="1" w:styleId="21">
    <w:name w:val="页脚 字符"/>
    <w:basedOn w:val="16"/>
    <w:link w:val="11"/>
    <w:autoRedefine/>
    <w:qFormat/>
    <w:uiPriority w:val="0"/>
    <w:rPr>
      <w:rFonts w:ascii="Arial" w:hAnsi="Arial" w:eastAsia="Arial" w:cs="Arial"/>
      <w:snapToGrid w:val="0"/>
      <w:color w:val="000000"/>
      <w:sz w:val="18"/>
      <w:szCs w:val="18"/>
    </w:rPr>
  </w:style>
  <w:style w:type="paragraph" w:styleId="22">
    <w:name w:val="List Paragraph"/>
    <w:basedOn w:val="1"/>
    <w:autoRedefine/>
    <w:qFormat/>
    <w:uiPriority w:val="99"/>
    <w:pPr>
      <w:ind w:firstLine="420" w:firstLineChars="200"/>
    </w:pPr>
  </w:style>
  <w:style w:type="paragraph" w:styleId="2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5">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232</Words>
  <Characters>1323</Characters>
  <Lines>11</Lines>
  <Paragraphs>3</Paragraphs>
  <TotalTime>0</TotalTime>
  <ScaleCrop>false</ScaleCrop>
  <LinksUpToDate>false</LinksUpToDate>
  <CharactersWithSpaces>1552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2024-05-07T00:09:33Z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