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项目名称：放射性药物研究中心改造工程监理服务</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059</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放射性药物研究中心改造工程监理服务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改造后的放射性药研究中心建筑面积约180平方米，工程预算价约221万元。本项目将涉及到部分墙体、门窗、吊顶、地面的拆除、新建，装饰装修改造、实验室智能控制系统、净化通风系统、给排水及配套衰变池及核辐射防护、监控及净化等专业领域的改造施工。</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8</w:t>
      </w:r>
      <w:r>
        <w:rPr>
          <w:rFonts w:hint="eastAsia" w:ascii="仿宋" w:hAnsi="仿宋" w:eastAsia="仿宋" w:cs="仿宋"/>
          <w:snapToGrid w:val="0"/>
          <w:color w:val="000000"/>
          <w:spacing w:val="8"/>
          <w:sz w:val="31"/>
          <w:szCs w:val="31"/>
          <w:lang w:val="en-US" w:eastAsia="zh-CN" w:bidi="ar-SA"/>
        </w:rPr>
        <w:t>、</w:t>
      </w:r>
      <w:r>
        <w:rPr>
          <w:rFonts w:hint="eastAsia" w:ascii="仿宋" w:hAnsi="仿宋" w:eastAsia="仿宋" w:cs="仿宋"/>
          <w:snapToGrid w:val="0"/>
          <w:color w:val="000000"/>
          <w:spacing w:val="8"/>
          <w:sz w:val="31"/>
          <w:szCs w:val="31"/>
          <w:lang w:val="en-US" w:eastAsia="zh-CN" w:bidi="ar-SA"/>
        </w:rPr>
        <w:t>具有房屋建筑工程监理乙级及以上资质</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1、按照“放射性药物研究中心施工图设计文件”“施工图设计文件审查报告”“工程量清单”全部范围和使用科室要求以及相关的国家、省级和行业的监理标准，结合各系统项目的建设特点，对项目改造施工全过程和项目验收两个阶段的全过程监理，确保项目按期、高质、高效地完成，并顺利通过验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2、监理工作内容（包括但不限于）：</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（1）质量控制：审核项目变更申请，处理各种质量事故；</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实施过程中，如发现存在重大质量隐患，应及时向承建单位签发停工令，并报采购人。</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2）进度控制：审核施工单位提交的阶段性进度计划报审表；定期检查项目的实施进度情况，确保实际进度与计划的一致性，及时处理项目延期申请；审查进度纠偏措施的合理性、可行性，签发监理通知单，并要求施工单位按计划进行修改。</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（3）投资控制：审核项目付款申请，签发项目款支付意见，报采购人签认；审查项目的质量、进度和投资等方面的变更，并做项目备忘录；及时处理各种索赔申请。</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（4）合同管理：按照《施工合同》内容对项目变更范围、内容、实施难度以及变更的投资和工期做出评估，处理项目实施中的各种变更并报采购人批准；应及时协调合同纠纷，公正地调查分析，提出监理意见。</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（5）信息管理：妥善管理实施阶段中所产生的开工令、停工令、监理通知、监理日志和项目备忘录等资料；监督采购人和施工单位按照既定的要求编制和管理项目文档。</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（6）协调：监理机构应与采购人和承建单位共同建立实施阶段协调的机制；应及时组织专题会议，解决专项问题，做出会议纪要。</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产出物要求：开工令、停工令、复工令、项目款支付证书、监理周报、会议纪要、监理月报、实施文档类监理审核意见、监理工作联系函、监理通知单、项目备忘录、设施设备验货台账、设备加电检查记录、专项项目监理报告等。</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w:t>
      </w:r>
    </w:p>
    <w:p>
      <w:pPr>
        <w:pStyle w:val="19"/>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2、付款方式：本项目竣工验收合格，中标单位开具全额发票，采购人在30日内一次性付清合同价。</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3、本项目不允许联合体投标。</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hint="default" w:ascii="仿宋" w:hAnsi="仿宋" w:eastAsia="仿宋" w:cs="仿宋"/>
          <w:snapToGrid w:val="0"/>
          <w:spacing w:val="-1"/>
          <w:sz w:val="31"/>
          <w:szCs w:val="31"/>
          <w:lang w:val="en-US" w:eastAsia="zh-CN"/>
        </w:rPr>
      </w:pPr>
      <w:bookmarkStart w:id="30" w:name="_GoBack"/>
      <w:bookmarkEnd w:id="30"/>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color w:val="000000"/>
          <w:spacing w:val="8"/>
          <w:sz w:val="31"/>
          <w:szCs w:val="31"/>
          <w:lang w:val="en-US" w:eastAsia="zh-CN" w:bidi="ar-SA"/>
        </w:rPr>
        <w:t>具有房屋建筑工程监理乙级及以上资质证明</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1832062"/>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82266104"/>
      <w:bookmarkStart w:id="27" w:name="_Toc443393358"/>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E227D-9C39-4BF0-BD49-D8454E772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A707A96B-F587-4023-B458-E5FCADB66D48}"/>
  </w:font>
  <w:font w:name="微软雅黑">
    <w:panose1 w:val="020B0503020204020204"/>
    <w:charset w:val="86"/>
    <w:family w:val="swiss"/>
    <w:pitch w:val="default"/>
    <w:sig w:usb0="80000287" w:usb1="2ACF3C50" w:usb2="00000016" w:usb3="00000000" w:csb0="0004001F" w:csb1="00000000"/>
    <w:embedRegular r:id="rId3" w:fontKey="{E4B406E6-1003-41DE-8EF9-C24E3F6A0BFA}"/>
  </w:font>
  <w:font w:name="方正仿宋_GB2312">
    <w:panose1 w:val="02000000000000000000"/>
    <w:charset w:val="86"/>
    <w:family w:val="auto"/>
    <w:pitch w:val="default"/>
    <w:sig w:usb0="A00002BF" w:usb1="184F6CFA" w:usb2="00000012" w:usb3="00000000" w:csb0="00040001" w:csb1="00000000"/>
    <w:embedRegular r:id="rId4" w:fontKey="{F050DB0E-B79C-463E-AA51-3D6CC0710021}"/>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E500961"/>
    <w:rsid w:val="1F127F89"/>
    <w:rsid w:val="201725C8"/>
    <w:rsid w:val="29276970"/>
    <w:rsid w:val="2CB63FA3"/>
    <w:rsid w:val="36A65875"/>
    <w:rsid w:val="4D3D691B"/>
    <w:rsid w:val="4F9D48D9"/>
    <w:rsid w:val="515646EF"/>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2024-03-19T07:33:41Z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7624AA398FCA48B29EDE13EC3913FCAA_12</vt:lpwstr>
  </property>
</Properties>
</file>