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财政电子票据系统维保服务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4）098</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财政电子票据系统维保服务</w:t>
      </w:r>
      <w:r>
        <w:rPr>
          <w:rFonts w:hint="eastAsia" w:ascii="仿宋" w:hAnsi="仿宋" w:eastAsia="仿宋" w:cs="仿宋"/>
          <w:spacing w:val="5"/>
          <w:sz w:val="31"/>
          <w:szCs w:val="31"/>
          <w:u w:val="single"/>
          <w:lang w:eastAsia="zh-CN"/>
        </w:rPr>
        <w:t xml:space="preserve">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36" w:leftChars="684" w:hanging="1600" w:hangingChars="500"/>
        <w:jc w:val="left"/>
        <w:rPr>
          <w:rFonts w:hint="eastAsia" w:ascii="仿宋" w:hAnsi="仿宋" w:eastAsia="仿宋" w:cs="仿宋"/>
          <w:spacing w:val="5"/>
          <w:sz w:val="31"/>
          <w:szCs w:val="31"/>
          <w:lang w:eastAsia="zh-CN"/>
        </w:rPr>
      </w:pPr>
      <w:r>
        <w:rPr>
          <w:rFonts w:hint="eastAsia" w:ascii="仿宋" w:hAnsi="仿宋" w:eastAsia="仿宋" w:cs="仿宋"/>
          <w:spacing w:val="5"/>
          <w:sz w:val="31"/>
          <w:szCs w:val="31"/>
        </w:rPr>
        <w:t>采购财政电子票据系统维保服务，费用为2.2万元/年，共计三年时间。</w:t>
      </w:r>
      <w:r>
        <w:rPr>
          <w:rFonts w:hint="eastAsia" w:ascii="仿宋" w:hAnsi="仿宋" w:eastAsia="仿宋" w:cs="仿宋"/>
          <w:spacing w:val="5"/>
          <w:sz w:val="31"/>
          <w:szCs w:val="31"/>
          <w:lang w:eastAsia="zh-CN"/>
        </w:rPr>
        <w:t>合同一年一签。</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60" w:lineRule="auto"/>
        <w:ind w:firstLine="420" w:firstLineChars="200"/>
        <w:rPr>
          <w:rFonts w:ascii="华文宋体" w:hAnsi="华文宋体" w:eastAsia="华文宋体"/>
          <w:szCs w:val="28"/>
        </w:rPr>
      </w:pPr>
      <w:r>
        <w:rPr>
          <w:rFonts w:hint="eastAsia" w:ascii="华文宋体" w:hAnsi="华文宋体" w:eastAsia="华文宋体"/>
          <w:szCs w:val="28"/>
        </w:rPr>
        <w:t>一、维保内容包括：</w:t>
      </w:r>
    </w:p>
    <w:p>
      <w:pPr>
        <w:numPr>
          <w:ilvl w:val="0"/>
          <w:numId w:val="2"/>
        </w:numPr>
        <w:spacing w:line="360" w:lineRule="auto"/>
        <w:rPr>
          <w:rFonts w:ascii="华文宋体" w:hAnsi="华文宋体" w:eastAsia="华文宋体"/>
          <w:szCs w:val="28"/>
        </w:rPr>
      </w:pPr>
      <w:r>
        <w:rPr>
          <w:rFonts w:hint="eastAsia" w:ascii="华文宋体" w:hAnsi="华文宋体" w:eastAsia="华文宋体"/>
          <w:szCs w:val="28"/>
        </w:rPr>
        <w:t>系统相关的技术培训：供应商负责为采购人提供配套的技术培训，后续服务使用远程或电话的技术培训或咨询，若采购人有需求，供应商应上门处理。</w:t>
      </w:r>
    </w:p>
    <w:p>
      <w:pPr>
        <w:numPr>
          <w:ilvl w:val="0"/>
          <w:numId w:val="2"/>
        </w:numPr>
        <w:spacing w:line="360" w:lineRule="auto"/>
        <w:rPr>
          <w:rFonts w:ascii="华文宋体" w:hAnsi="华文宋体" w:eastAsia="华文宋体"/>
          <w:color w:val="000000" w:themeColor="text1"/>
          <w:szCs w:val="28"/>
          <w14:textFill>
            <w14:solidFill>
              <w14:schemeClr w14:val="tx1"/>
            </w14:solidFill>
          </w14:textFill>
        </w:rPr>
      </w:pPr>
      <w:r>
        <w:rPr>
          <w:rFonts w:hint="eastAsia" w:ascii="华文宋体" w:hAnsi="华文宋体" w:eastAsia="华文宋体"/>
          <w:szCs w:val="28"/>
        </w:rPr>
        <w:t>系统安装、测试：由采购人提供服务器，供应商负责服务器端财政电子票据系统正常运行所需的操作系统、运行环境的安装和调试；供应商负责财政电子票据系统在终端的软件安装、调试等相关工作，确保财政电子票据系</w:t>
      </w:r>
      <w:r>
        <w:rPr>
          <w:rFonts w:hint="eastAsia" w:ascii="华文宋体" w:hAnsi="华文宋体" w:eastAsia="华文宋体"/>
          <w:color w:val="000000" w:themeColor="text1"/>
          <w:szCs w:val="28"/>
          <w14:textFill>
            <w14:solidFill>
              <w14:schemeClr w14:val="tx1"/>
            </w14:solidFill>
          </w14:textFill>
        </w:rPr>
        <w:t>统及电子票据系统邮件推送稳定运行。</w:t>
      </w:r>
    </w:p>
    <w:p>
      <w:pPr>
        <w:numPr>
          <w:ilvl w:val="0"/>
          <w:numId w:val="2"/>
        </w:numPr>
        <w:spacing w:line="360" w:lineRule="auto"/>
        <w:rPr>
          <w:rFonts w:ascii="华文宋体" w:hAnsi="华文宋体" w:eastAsia="华文宋体"/>
          <w:color w:val="000000" w:themeColor="text1"/>
          <w14:textFill>
            <w14:solidFill>
              <w14:schemeClr w14:val="tx1"/>
            </w14:solidFill>
          </w14:textFill>
        </w:rPr>
      </w:pPr>
      <w:r>
        <w:rPr>
          <w:rFonts w:hint="eastAsia" w:ascii="华文宋体" w:hAnsi="华文宋体" w:eastAsia="华文宋体"/>
          <w:color w:val="000000" w:themeColor="text1"/>
          <w14:textFill>
            <w14:solidFill>
              <w14:schemeClr w14:val="tx1"/>
            </w14:solidFill>
          </w14:textFill>
        </w:rPr>
        <w:t>财政电子票据系统支撑运行环境的维护</w:t>
      </w:r>
    </w:p>
    <w:p>
      <w:pPr>
        <w:spacing w:line="360" w:lineRule="auto"/>
        <w:ind w:firstLine="420" w:firstLineChars="200"/>
        <w:rPr>
          <w:rFonts w:ascii="华文宋体" w:hAnsi="华文宋体" w:eastAsia="华文宋体"/>
          <w:color w:val="000000" w:themeColor="text1"/>
          <w14:textFill>
            <w14:solidFill>
              <w14:schemeClr w14:val="tx1"/>
            </w14:solidFill>
          </w14:textFill>
        </w:rPr>
      </w:pPr>
      <w:r>
        <w:rPr>
          <w:rFonts w:hint="eastAsia" w:ascii="华文宋体" w:hAnsi="华文宋体" w:eastAsia="华文宋体"/>
          <w:color w:val="000000" w:themeColor="text1"/>
          <w14:textFill>
            <w14:solidFill>
              <w14:schemeClr w14:val="tx1"/>
            </w14:solidFill>
          </w14:textFill>
        </w:rPr>
        <w:t>（1）财政电子票据服务器操作系统、运行支持软件的维护；</w:t>
      </w:r>
    </w:p>
    <w:p>
      <w:pPr>
        <w:spacing w:line="360" w:lineRule="auto"/>
        <w:ind w:firstLine="420" w:firstLineChars="200"/>
        <w:rPr>
          <w:rFonts w:ascii="华文宋体" w:hAnsi="华文宋体" w:eastAsia="华文宋体"/>
          <w:color w:val="000000" w:themeColor="text1"/>
          <w14:textFill>
            <w14:solidFill>
              <w14:schemeClr w14:val="tx1"/>
            </w14:solidFill>
          </w14:textFill>
        </w:rPr>
      </w:pPr>
      <w:r>
        <w:rPr>
          <w:rFonts w:hint="eastAsia" w:ascii="华文宋体" w:hAnsi="华文宋体" w:eastAsia="华文宋体"/>
          <w:color w:val="000000" w:themeColor="text1"/>
          <w14:textFill>
            <w14:solidFill>
              <w14:schemeClr w14:val="tx1"/>
            </w14:solidFill>
          </w14:textFill>
        </w:rPr>
        <w:t>（2）财政电子票据数据库的维护；</w:t>
      </w:r>
    </w:p>
    <w:p>
      <w:pPr>
        <w:numPr>
          <w:ilvl w:val="0"/>
          <w:numId w:val="2"/>
        </w:numPr>
        <w:spacing w:line="360" w:lineRule="auto"/>
        <w:rPr>
          <w:rFonts w:ascii="华文宋体" w:hAnsi="华文宋体" w:eastAsia="华文宋体"/>
          <w:color w:val="000000" w:themeColor="text1"/>
          <w14:textFill>
            <w14:solidFill>
              <w14:schemeClr w14:val="tx1"/>
            </w14:solidFill>
          </w14:textFill>
        </w:rPr>
      </w:pPr>
      <w:r>
        <w:rPr>
          <w:rFonts w:hint="eastAsia" w:ascii="华文宋体" w:hAnsi="华文宋体" w:eastAsia="华文宋体"/>
          <w:color w:val="000000" w:themeColor="text1"/>
          <w14:textFill>
            <w14:solidFill>
              <w14:schemeClr w14:val="tx1"/>
            </w14:solidFill>
          </w14:textFill>
        </w:rPr>
        <w:t>业务数据维护；</w:t>
      </w:r>
    </w:p>
    <w:p>
      <w:pPr>
        <w:numPr>
          <w:ilvl w:val="0"/>
          <w:numId w:val="2"/>
        </w:numPr>
        <w:spacing w:line="360" w:lineRule="auto"/>
        <w:rPr>
          <w:rFonts w:ascii="华文宋体" w:hAnsi="华文宋体" w:eastAsia="华文宋体"/>
          <w:color w:val="000000" w:themeColor="text1"/>
          <w14:textFill>
            <w14:solidFill>
              <w14:schemeClr w14:val="tx1"/>
            </w14:solidFill>
          </w14:textFill>
        </w:rPr>
      </w:pPr>
      <w:r>
        <w:rPr>
          <w:rFonts w:hint="eastAsia" w:ascii="华文宋体" w:hAnsi="华文宋体" w:eastAsia="华文宋体"/>
          <w:color w:val="000000" w:themeColor="text1"/>
          <w14:textFill>
            <w14:solidFill>
              <w14:schemeClr w14:val="tx1"/>
            </w14:solidFill>
          </w14:textFill>
        </w:rPr>
        <w:t>业务数据备份，确保备份数据及时、完整、准确；</w:t>
      </w:r>
    </w:p>
    <w:p>
      <w:pPr>
        <w:numPr>
          <w:ilvl w:val="0"/>
          <w:numId w:val="2"/>
        </w:numPr>
        <w:spacing w:line="360" w:lineRule="auto"/>
        <w:rPr>
          <w:rFonts w:ascii="华文宋体" w:hAnsi="华文宋体" w:eastAsia="华文宋体"/>
        </w:rPr>
      </w:pPr>
      <w:r>
        <w:rPr>
          <w:rFonts w:hint="eastAsia" w:ascii="华文宋体" w:hAnsi="华文宋体" w:eastAsia="华文宋体"/>
        </w:rPr>
        <w:t>业务系统日常维护；</w:t>
      </w:r>
    </w:p>
    <w:p>
      <w:pPr>
        <w:numPr>
          <w:ilvl w:val="0"/>
          <w:numId w:val="2"/>
        </w:numPr>
        <w:spacing w:line="360" w:lineRule="auto"/>
        <w:rPr>
          <w:rFonts w:ascii="华文宋体" w:hAnsi="华文宋体" w:eastAsia="华文宋体"/>
        </w:rPr>
      </w:pPr>
      <w:r>
        <w:rPr>
          <w:rFonts w:hint="eastAsia" w:ascii="华文宋体" w:hAnsi="华文宋体" w:eastAsia="华文宋体"/>
        </w:rPr>
        <w:t>软件更新服务；</w:t>
      </w:r>
    </w:p>
    <w:p>
      <w:pPr>
        <w:numPr>
          <w:ilvl w:val="0"/>
          <w:numId w:val="2"/>
        </w:numPr>
        <w:spacing w:line="360" w:lineRule="auto"/>
        <w:rPr>
          <w:rFonts w:ascii="华文宋体" w:hAnsi="华文宋体" w:eastAsia="华文宋体"/>
        </w:rPr>
      </w:pPr>
      <w:r>
        <w:rPr>
          <w:rFonts w:hint="eastAsia" w:ascii="华文宋体" w:hAnsi="华文宋体" w:eastAsia="华文宋体"/>
        </w:rPr>
        <w:t>对业务系统健康状态检查与分析报告；</w:t>
      </w:r>
    </w:p>
    <w:p>
      <w:pPr>
        <w:numPr>
          <w:ilvl w:val="0"/>
          <w:numId w:val="2"/>
        </w:numPr>
        <w:spacing w:line="360" w:lineRule="auto"/>
        <w:rPr>
          <w:rFonts w:ascii="华文宋体" w:hAnsi="华文宋体" w:eastAsia="华文宋体"/>
        </w:rPr>
      </w:pPr>
      <w:r>
        <w:rPr>
          <w:rFonts w:hint="eastAsia" w:ascii="华文宋体" w:hAnsi="华文宋体" w:eastAsia="华文宋体"/>
        </w:rPr>
        <w:t>应急支持：针对财政电子票据系统建立突发事故应急响应机制，确保出现故障时尽快恢复系统正常稳定运行。</w:t>
      </w:r>
    </w:p>
    <w:p>
      <w:pPr>
        <w:numPr>
          <w:ilvl w:val="0"/>
          <w:numId w:val="2"/>
        </w:numPr>
        <w:spacing w:line="360" w:lineRule="auto"/>
        <w:rPr>
          <w:rFonts w:ascii="华文宋体" w:hAnsi="华文宋体" w:eastAsia="华文宋体"/>
        </w:rPr>
      </w:pPr>
      <w:r>
        <w:rPr>
          <w:rFonts w:hint="eastAsia" w:ascii="华文宋体" w:hAnsi="华文宋体" w:eastAsia="华文宋体"/>
        </w:rPr>
        <w:t>标准服务</w:t>
      </w:r>
    </w:p>
    <w:p>
      <w:pPr>
        <w:pStyle w:val="24"/>
        <w:spacing w:line="360" w:lineRule="auto"/>
        <w:ind w:firstLineChars="200"/>
        <w:rPr>
          <w:rFonts w:ascii="华文宋体" w:hAnsi="华文宋体" w:eastAsia="华文宋体"/>
        </w:rPr>
      </w:pPr>
      <w:r>
        <w:rPr>
          <w:rFonts w:hint="eastAsia" w:ascii="华文宋体" w:hAnsi="华文宋体" w:eastAsia="华文宋体"/>
        </w:rPr>
        <w:t>由供应商提供现场支持和远程支持，确保任务的完成。</w:t>
      </w:r>
    </w:p>
    <w:p>
      <w:pPr>
        <w:numPr>
          <w:ilvl w:val="0"/>
          <w:numId w:val="3"/>
        </w:numPr>
        <w:spacing w:line="360" w:lineRule="auto"/>
        <w:rPr>
          <w:rFonts w:ascii="华文宋体" w:hAnsi="华文宋体" w:eastAsia="华文宋体"/>
        </w:rPr>
      </w:pPr>
      <w:r>
        <w:rPr>
          <w:rFonts w:hint="eastAsia" w:ascii="华文宋体" w:hAnsi="华文宋体" w:eastAsia="华文宋体"/>
        </w:rPr>
        <w:t>现场支持：</w:t>
      </w:r>
    </w:p>
    <w:p>
      <w:pPr>
        <w:pStyle w:val="24"/>
        <w:spacing w:line="360" w:lineRule="auto"/>
        <w:ind w:firstLineChars="200"/>
        <w:rPr>
          <w:rFonts w:ascii="华文宋体" w:hAnsi="华文宋体" w:eastAsia="华文宋体"/>
        </w:rPr>
      </w:pPr>
      <w:r>
        <w:rPr>
          <w:rFonts w:hint="eastAsia" w:ascii="华文宋体" w:hAnsi="华文宋体" w:eastAsia="华文宋体"/>
        </w:rPr>
        <w:t>软件的咨询服务；安装软件</w:t>
      </w:r>
      <w:r>
        <w:rPr>
          <w:rFonts w:ascii="华文宋体" w:hAnsi="华文宋体" w:eastAsia="华文宋体"/>
        </w:rPr>
        <w:t>;</w:t>
      </w:r>
      <w:r>
        <w:rPr>
          <w:rFonts w:hint="eastAsia" w:ascii="华文宋体" w:hAnsi="华文宋体" w:eastAsia="华文宋体"/>
        </w:rPr>
        <w:t>指导使用软件；协助审核；解决由于财政电子票据系统运行环境或系统本身原因引起的使用故障；财政电子票据系统大量功能或者关键功能升级、测试、配置、培训，维护等工作。每月的现场支持服务不少于4天，在完成现场支持的服务天数后，根据采购人要求还需要服务一定的天数或者由于业务重新调整导致必须派工程师重新到现场进行系统定制，供应商提供与软件应用相关的现场支持服务。</w:t>
      </w:r>
    </w:p>
    <w:p>
      <w:pPr>
        <w:numPr>
          <w:ilvl w:val="0"/>
          <w:numId w:val="3"/>
        </w:numPr>
        <w:spacing w:line="360" w:lineRule="auto"/>
        <w:rPr>
          <w:rFonts w:ascii="华文宋体" w:hAnsi="华文宋体" w:eastAsia="华文宋体"/>
        </w:rPr>
      </w:pPr>
      <w:r>
        <w:rPr>
          <w:rFonts w:hint="eastAsia" w:ascii="华文宋体" w:hAnsi="华文宋体" w:eastAsia="华文宋体"/>
        </w:rPr>
        <w:t>远程支持：</w:t>
      </w:r>
    </w:p>
    <w:p>
      <w:pPr>
        <w:spacing w:line="360" w:lineRule="auto"/>
        <w:rPr>
          <w:rFonts w:ascii="华文宋体" w:hAnsi="华文宋体" w:eastAsia="华文宋体"/>
          <w:sz w:val="28"/>
          <w:szCs w:val="28"/>
        </w:rPr>
      </w:pPr>
      <w:r>
        <w:rPr>
          <w:rFonts w:hint="eastAsia" w:ascii="华文宋体" w:hAnsi="华文宋体" w:eastAsia="华文宋体"/>
        </w:rPr>
        <w:t>Internet网络支持；为用户提供24小时的网上答疑和技术支持。热线电话支持</w:t>
      </w:r>
      <w:r>
        <w:rPr>
          <w:rFonts w:hint="eastAsia" w:ascii="华文宋体" w:hAnsi="华文宋体" w:eastAsia="华文宋体"/>
          <w:szCs w:val="28"/>
        </w:rPr>
        <w:t>服务；供应商应设专线电话，专门解答用户问题、接受咨询、指导采购人排除故障。</w:t>
      </w:r>
    </w:p>
    <w:p>
      <w:pPr>
        <w:numPr>
          <w:ilvl w:val="0"/>
          <w:numId w:val="2"/>
        </w:numPr>
        <w:spacing w:line="360" w:lineRule="auto"/>
        <w:rPr>
          <w:rFonts w:ascii="华文宋体" w:hAnsi="华文宋体" w:eastAsia="华文宋体"/>
        </w:rPr>
      </w:pPr>
      <w:r>
        <w:rPr>
          <w:rFonts w:hint="eastAsia" w:ascii="华文宋体" w:hAnsi="华文宋体" w:eastAsia="华文宋体"/>
        </w:rPr>
        <w:t>服务范围：</w:t>
      </w:r>
    </w:p>
    <w:p>
      <w:pPr>
        <w:spacing w:line="360" w:lineRule="auto"/>
        <w:ind w:firstLine="420" w:firstLineChars="200"/>
        <w:rPr>
          <w:rFonts w:ascii="华文宋体" w:hAnsi="华文宋体" w:eastAsia="华文宋体"/>
        </w:rPr>
      </w:pPr>
      <w:r>
        <w:rPr>
          <w:rFonts w:hint="eastAsia" w:ascii="华文宋体" w:hAnsi="华文宋体" w:eastAsia="华文宋体"/>
        </w:rPr>
        <w:t>收集采购人项目业务需求，在需求明确后并经采购人确认，利用软件在采购人指定的服务器环境上予以实现。软件服务过程中，供应商按照约定的天数提供与软件相关的现场技术支持；供应商指导采购人完成相关的基础数据录入和调整。配合采购人完成系统试运行与正确性验证。</w:t>
      </w:r>
    </w:p>
    <w:p>
      <w:pPr>
        <w:numPr>
          <w:ilvl w:val="0"/>
          <w:numId w:val="2"/>
        </w:numPr>
        <w:spacing w:line="360" w:lineRule="auto"/>
        <w:rPr>
          <w:rFonts w:ascii="宋体" w:hAnsi="宋体" w:eastAsia="宋体" w:cs="Arial Unicode MS"/>
          <w:kern w:val="0"/>
          <w:szCs w:val="21"/>
        </w:rPr>
      </w:pPr>
      <w:r>
        <w:rPr>
          <w:rFonts w:hint="eastAsia" w:ascii="宋体" w:hAnsi="宋体" w:eastAsia="宋体" w:cs="Arial Unicode MS"/>
          <w:kern w:val="0"/>
          <w:szCs w:val="21"/>
        </w:rPr>
        <w:t>运维报告</w:t>
      </w:r>
    </w:p>
    <w:p>
      <w:pPr>
        <w:numPr>
          <w:ilvl w:val="0"/>
          <w:numId w:val="0"/>
        </w:numPr>
        <w:spacing w:line="360" w:lineRule="auto"/>
        <w:ind w:leftChars="0" w:firstLine="420" w:firstLineChars="200"/>
        <w:rPr>
          <w:rFonts w:hint="eastAsia" w:ascii="仿宋" w:hAnsi="仿宋" w:eastAsia="仿宋" w:cs="仿宋"/>
          <w:spacing w:val="8"/>
          <w:sz w:val="31"/>
          <w:szCs w:val="31"/>
        </w:rPr>
      </w:pPr>
      <w:r>
        <w:rPr>
          <w:rFonts w:hint="eastAsia" w:ascii="宋体" w:hAnsi="宋体" w:eastAsia="宋体" w:cs="Arial Unicode MS"/>
          <w:kern w:val="0"/>
          <w:szCs w:val="21"/>
          <w:lang w:val="en-US" w:eastAsia="zh-CN"/>
        </w:rPr>
        <w:t>供应商根据卫健委下发的相关文件，提供相应的运维报告。</w:t>
      </w:r>
    </w:p>
    <w:p>
      <w:pPr>
        <w:numPr>
          <w:ilvl w:val="0"/>
          <w:numId w:val="4"/>
        </w:numPr>
        <w:spacing w:before="218" w:line="357" w:lineRule="auto"/>
        <w:ind w:left="679" w:leftChars="0" w:right="14" w:rightChars="0"/>
        <w:rPr>
          <w:rFonts w:hint="eastAsia" w:ascii="仿宋" w:hAnsi="仿宋" w:eastAsia="仿宋" w:cs="仿宋"/>
          <w:spacing w:val="8"/>
          <w:sz w:val="31"/>
          <w:szCs w:val="31"/>
        </w:rPr>
      </w:pPr>
      <w:r>
        <w:rPr>
          <w:rFonts w:hint="eastAsia" w:ascii="方正仿宋_GB2312" w:hAnsi="方正仿宋_GB2312" w:eastAsia="方正仿宋_GB2312" w:cs="方正仿宋_GB2312"/>
          <w:sz w:val="24"/>
          <w:szCs w:val="22"/>
          <w:lang w:val="en-US" w:eastAsia="zh-CN"/>
        </w:rPr>
        <w:t>★</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1"/>
        <w:rPr>
          <w:rFonts w:hint="eastAsia" w:ascii="华文宋体" w:hAnsi="华文宋体" w:eastAsia="华文宋体" w:cs="Arial"/>
          <w:snapToGrid w:val="0"/>
          <w:color w:val="000000"/>
          <w:sz w:val="21"/>
          <w:szCs w:val="21"/>
          <w:lang w:val="en-US" w:eastAsia="zh-CN" w:bidi="ar-SA"/>
        </w:rPr>
      </w:pPr>
      <w:r>
        <w:rPr>
          <w:rFonts w:hint="eastAsia" w:ascii="华文宋体" w:hAnsi="华文宋体" w:eastAsia="华文宋体" w:cs="Arial"/>
          <w:snapToGrid w:val="0"/>
          <w:color w:val="000000"/>
          <w:sz w:val="21"/>
          <w:szCs w:val="21"/>
          <w:lang w:val="en-US" w:eastAsia="zh-CN" w:bidi="ar-SA"/>
        </w:rPr>
        <w:t>维保时间从签订合同之日起算，共计三年时间，合同一年一签，维保服务质量好且考核合格后再续签下一年度的合同。供应商应在合同签订完成后，在采购人指定地点提供维保服务。</w:t>
      </w:r>
    </w:p>
    <w:p>
      <w:pPr>
        <w:pStyle w:val="21"/>
        <w:ind w:firstLine="0" w:firstLineChars="0"/>
        <w:rPr>
          <w:rFonts w:hint="eastAsia" w:ascii="华文宋体" w:hAnsi="华文宋体" w:eastAsia="华文宋体" w:cs="Arial"/>
          <w:snapToGrid w:val="0"/>
          <w:color w:val="000000"/>
          <w:sz w:val="21"/>
          <w:szCs w:val="21"/>
          <w:lang w:val="en-US" w:eastAsia="zh-CN" w:bidi="ar-SA"/>
        </w:rPr>
      </w:pPr>
      <w:r>
        <w:rPr>
          <w:rFonts w:hint="eastAsia" w:ascii="华文宋体" w:hAnsi="华文宋体" w:eastAsia="华文宋体" w:cs="Arial"/>
          <w:snapToGrid w:val="0"/>
          <w:color w:val="000000"/>
          <w:sz w:val="21"/>
          <w:szCs w:val="21"/>
          <w:lang w:val="en-US" w:eastAsia="zh-CN" w:bidi="ar-SA"/>
        </w:rPr>
        <w:t>（二）付款方式</w:t>
      </w:r>
    </w:p>
    <w:p>
      <w:pPr>
        <w:jc w:val="left"/>
        <w:rPr>
          <w:rFonts w:hint="eastAsia" w:ascii="华文宋体" w:hAnsi="华文宋体" w:eastAsia="华文宋体" w:cs="Arial"/>
          <w:snapToGrid w:val="0"/>
          <w:color w:val="000000"/>
          <w:sz w:val="21"/>
          <w:szCs w:val="21"/>
          <w:lang w:val="en-US" w:eastAsia="zh-CN" w:bidi="ar-SA"/>
        </w:rPr>
      </w:pPr>
      <w:r>
        <w:rPr>
          <w:rFonts w:hint="eastAsia" w:ascii="华文宋体" w:hAnsi="华文宋体" w:eastAsia="华文宋体" w:cs="Arial"/>
          <w:snapToGrid w:val="0"/>
          <w:color w:val="000000"/>
          <w:sz w:val="21"/>
          <w:szCs w:val="21"/>
          <w:lang w:val="en-US" w:eastAsia="zh-CN" w:bidi="ar-SA"/>
        </w:rPr>
        <w:t>1.签订合同满半年后，采购人收到供应商通知、正规发票、合同复印件、运维报告等相关资料后，在30日内支付合同总金额的50%。</w:t>
      </w:r>
    </w:p>
    <w:p>
      <w:pPr>
        <w:pStyle w:val="5"/>
        <w:jc w:val="left"/>
        <w:rPr>
          <w:rFonts w:hint="eastAsia" w:ascii="华文宋体" w:hAnsi="华文宋体" w:eastAsia="华文宋体" w:cs="Arial"/>
          <w:snapToGrid w:val="0"/>
          <w:color w:val="000000"/>
          <w:sz w:val="21"/>
          <w:szCs w:val="21"/>
          <w:lang w:val="en-US" w:eastAsia="zh-CN" w:bidi="ar-SA"/>
        </w:rPr>
      </w:pPr>
      <w:r>
        <w:rPr>
          <w:rFonts w:hint="eastAsia" w:ascii="华文宋体" w:hAnsi="华文宋体" w:eastAsia="华文宋体" w:cs="Arial"/>
          <w:snapToGrid w:val="0"/>
          <w:color w:val="000000"/>
          <w:sz w:val="21"/>
          <w:szCs w:val="21"/>
          <w:lang w:val="en-US" w:eastAsia="zh-CN" w:bidi="ar-SA"/>
        </w:rPr>
        <w:t>2.签订合同满一年后，采购人收到供应商通知、正规发票、合同复印件、运维报告等相关资料后，在30日内支付合同总金额的50%。</w:t>
      </w:r>
    </w:p>
    <w:p>
      <w:pPr>
        <w:rPr>
          <w:rFonts w:hint="eastAsia" w:ascii="华文宋体" w:hAnsi="华文宋体" w:eastAsia="华文宋体" w:cs="Arial"/>
          <w:snapToGrid w:val="0"/>
          <w:color w:val="000000"/>
          <w:sz w:val="21"/>
          <w:szCs w:val="21"/>
          <w:lang w:val="en-US" w:eastAsia="zh-CN" w:bidi="ar-SA"/>
        </w:rPr>
      </w:pPr>
      <w:r>
        <w:rPr>
          <w:rFonts w:hint="eastAsia" w:ascii="华文宋体" w:hAnsi="华文宋体" w:eastAsia="华文宋体" w:cs="Arial"/>
          <w:snapToGrid w:val="0"/>
          <w:color w:val="000000"/>
          <w:sz w:val="21"/>
          <w:szCs w:val="21"/>
          <w:lang w:val="en-US" w:eastAsia="zh-CN" w:bidi="ar-SA"/>
        </w:rPr>
        <w:t>3.第二年、第三年付款方式不变。</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5"/>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7、维保方案。</w:t>
      </w:r>
      <w:bookmarkStart w:id="30" w:name="_GoBack"/>
      <w:bookmarkEnd w:id="30"/>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43397363"/>
      <w:bookmarkStart w:id="1" w:name="_Toc482266098"/>
      <w:bookmarkStart w:id="2" w:name="_Toc11832062"/>
      <w:bookmarkStart w:id="3" w:name="_Toc13563815"/>
      <w:bookmarkStart w:id="4" w:name="_Toc87974341"/>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13563872"/>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479755777"/>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82266104"/>
      <w:bookmarkStart w:id="26" w:name="_Toc13563883"/>
      <w:bookmarkStart w:id="27" w:name="_Toc11764042"/>
      <w:bookmarkStart w:id="28" w:name="_Toc443397367"/>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7690455-D38D-49BC-B72A-5AF76032AB48}"/>
  </w:font>
  <w:font w:name="黑体">
    <w:panose1 w:val="02010609060101010101"/>
    <w:charset w:val="86"/>
    <w:family w:val="auto"/>
    <w:pitch w:val="default"/>
    <w:sig w:usb0="800002BF" w:usb1="38CF7CFA" w:usb2="00000016" w:usb3="00000000" w:csb0="00040001" w:csb1="00000000"/>
    <w:embedRegular r:id="rId2" w:fontKey="{BB0B3452-BD76-471A-82FE-C20304F9CE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84FF83FB-6A73-4CA3-9B15-4E839FBD55CE}"/>
  </w:font>
  <w:font w:name="仿宋">
    <w:panose1 w:val="02010609060101010101"/>
    <w:charset w:val="86"/>
    <w:family w:val="modern"/>
    <w:pitch w:val="default"/>
    <w:sig w:usb0="800002BF" w:usb1="38CF7CFA" w:usb2="00000016" w:usb3="00000000" w:csb0="00040001" w:csb1="00000000"/>
    <w:embedRegular r:id="rId4" w:fontKey="{C3504E0C-0B0A-4826-9CD4-D05F2F919519}"/>
  </w:font>
  <w:font w:name="Arial Unicode MS">
    <w:panose1 w:val="020B0604020202020204"/>
    <w:charset w:val="86"/>
    <w:family w:val="swiss"/>
    <w:pitch w:val="default"/>
    <w:sig w:usb0="FFFFFFFF" w:usb1="E9FFFFFF" w:usb2="0000003F" w:usb3="00000000" w:csb0="603F01FF" w:csb1="FFFF0000"/>
    <w:embedRegular r:id="rId5" w:fontKey="{03420567-A4BD-4A81-9C00-141F8572B6EA}"/>
  </w:font>
  <w:font w:name="方正仿宋_GB2312">
    <w:panose1 w:val="02000000000000000000"/>
    <w:charset w:val="86"/>
    <w:family w:val="auto"/>
    <w:pitch w:val="default"/>
    <w:sig w:usb0="A00002BF" w:usb1="184F6CFA" w:usb2="00000012" w:usb3="00000000" w:csb0="00040001" w:csb1="00000000"/>
    <w:embedRegular r:id="rId6" w:fontKey="{E5E1471D-6267-4A17-BAE0-5769C13EF6B2}"/>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embedRegular r:id="rId7" w:fontKey="{DFB843DF-13F7-4911-85BA-B3CB595C54A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9450B097"/>
    <w:multiLevelType w:val="singleLevel"/>
    <w:tmpl w:val="9450B097"/>
    <w:lvl w:ilvl="0" w:tentative="0">
      <w:start w:val="1"/>
      <w:numFmt w:val="decimal"/>
      <w:lvlText w:val="%1."/>
      <w:lvlJc w:val="left"/>
      <w:pPr>
        <w:ind w:left="425" w:hanging="425"/>
      </w:pPr>
      <w:rPr>
        <w:rFonts w:hint="default"/>
      </w:rPr>
    </w:lvl>
  </w:abstractNum>
  <w:abstractNum w:abstractNumId="2">
    <w:nsid w:val="C8B4960F"/>
    <w:multiLevelType w:val="singleLevel"/>
    <w:tmpl w:val="C8B4960F"/>
    <w:lvl w:ilvl="0" w:tentative="0">
      <w:start w:val="1"/>
      <w:numFmt w:val="decimal"/>
      <w:lvlText w:val="(%1)"/>
      <w:lvlJc w:val="left"/>
      <w:pPr>
        <w:ind w:left="425" w:hanging="425"/>
      </w:pPr>
      <w:rPr>
        <w:rFonts w:hint="default"/>
      </w:rPr>
    </w:lvl>
  </w:abstractNum>
  <w:abstractNum w:abstractNumId="3">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E500961"/>
    <w:rsid w:val="201725C8"/>
    <w:rsid w:val="285A00C7"/>
    <w:rsid w:val="2CB63FA3"/>
    <w:rsid w:val="317B3E11"/>
    <w:rsid w:val="35636275"/>
    <w:rsid w:val="39D53981"/>
    <w:rsid w:val="3A6927DD"/>
    <w:rsid w:val="3B817F35"/>
    <w:rsid w:val="3BBE3857"/>
    <w:rsid w:val="42160A18"/>
    <w:rsid w:val="42EF553D"/>
    <w:rsid w:val="434165BD"/>
    <w:rsid w:val="4E6879C7"/>
    <w:rsid w:val="4FA976E5"/>
    <w:rsid w:val="58E42340"/>
    <w:rsid w:val="5C33726B"/>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ind w:firstLine="630"/>
    </w:pPr>
    <w:rPr>
      <w:sz w:val="32"/>
      <w:szCs w:val="20"/>
    </w:rPr>
  </w:style>
  <w:style w:type="paragraph" w:customStyle="1" w:styleId="8">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autoRedefine/>
    <w:qFormat/>
    <w:uiPriority w:val="0"/>
    <w:pPr>
      <w:tabs>
        <w:tab w:val="center" w:pos="4153"/>
        <w:tab w:val="right" w:pos="8306"/>
      </w:tabs>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jc w:val="center"/>
    </w:pPr>
    <w:rPr>
      <w:sz w:val="18"/>
      <w:szCs w:val="18"/>
    </w:rPr>
  </w:style>
  <w:style w:type="paragraph" w:styleId="11">
    <w:name w:val="Body Text First Indent 2"/>
    <w:basedOn w:val="7"/>
    <w:next w:val="1"/>
    <w:autoRedefine/>
    <w:unhideWhenUsed/>
    <w:qFormat/>
    <w:uiPriority w:val="99"/>
    <w:pPr>
      <w:ind w:firstLine="880" w:firstLineChars="200"/>
    </w:pPr>
    <w:rPr>
      <w:rFonts w:eastAsia="仿宋_GB2312"/>
      <w:szCs w:val="2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10"/>
    <w:autoRedefine/>
    <w:qFormat/>
    <w:uiPriority w:val="0"/>
    <w:rPr>
      <w:rFonts w:ascii="Arial" w:hAnsi="Arial" w:eastAsia="Arial" w:cs="Arial"/>
      <w:snapToGrid w:val="0"/>
      <w:color w:val="000000"/>
      <w:sz w:val="18"/>
      <w:szCs w:val="18"/>
    </w:rPr>
  </w:style>
  <w:style w:type="character" w:customStyle="1" w:styleId="20">
    <w:name w:val="页脚 字符"/>
    <w:basedOn w:val="14"/>
    <w:link w:val="9"/>
    <w:autoRedefine/>
    <w:qFormat/>
    <w:uiPriority w:val="0"/>
    <w:rPr>
      <w:rFonts w:ascii="Arial" w:hAnsi="Arial" w:eastAsia="Arial" w:cs="Arial"/>
      <w:snapToGrid w:val="0"/>
      <w:color w:val="000000"/>
      <w:sz w:val="18"/>
      <w:szCs w:val="18"/>
    </w:rPr>
  </w:style>
  <w:style w:type="paragraph" w:styleId="21">
    <w:name w:val="List Paragraph"/>
    <w:basedOn w:val="1"/>
    <w:autoRedefine/>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4">
    <w:name w:val="正文格式"/>
    <w:basedOn w:val="1"/>
    <w:autoRedefine/>
    <w:qFormat/>
    <w:uiPriority w:val="0"/>
    <w:pPr>
      <w:spacing w:before="156" w:beforeLines="50" w:line="440" w:lineRule="exact"/>
      <w:ind w:firstLine="42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2024-03-11T07:04:50Z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7624AA398FCA48B29EDE13EC3913FCAA_12</vt:lpwstr>
  </property>
</Properties>
</file>