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吊柱</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068</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kern w:val="0"/>
          <w:sz w:val="28"/>
          <w:szCs w:val="28"/>
        </w:rPr>
        <w:t>吊柱</w:t>
      </w:r>
      <w:r>
        <w:rPr>
          <w:rFonts w:hint="eastAsia" w:ascii="仿宋" w:hAnsi="仿宋" w:eastAsia="仿宋" w:cs="仿宋"/>
          <w:spacing w:val="5"/>
          <w:sz w:val="31"/>
          <w:szCs w:val="31"/>
        </w:rPr>
        <w:t xml:space="preserve"> 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line="245" w:lineRule="auto"/>
        <w:ind w:firstLine="1304" w:firstLineChars="400"/>
        <w:rPr>
          <w:rFonts w:hint="eastAsia" w:ascii="仿宋" w:hAnsi="仿宋" w:eastAsia="仿宋" w:cs="仿宋"/>
          <w:spacing w:val="8"/>
          <w:sz w:val="31"/>
          <w:szCs w:val="31"/>
        </w:rPr>
      </w:pPr>
      <w:r>
        <w:rPr>
          <w:rFonts w:hint="eastAsia" w:ascii="仿宋" w:hAnsi="仿宋" w:eastAsia="仿宋" w:cs="仿宋"/>
          <w:spacing w:val="8"/>
          <w:sz w:val="31"/>
          <w:szCs w:val="31"/>
        </w:rPr>
        <w:t>神经外科拟改建监护病房，需配备9套病房吊柱（包含2台氧气终端、1台压缩空气终端、2台负压终端、电源插座10套、网口1套）以满足使用。</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4"/>
        <w:ind w:firstLine="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r>
        <w:rPr>
          <w:rFonts w:hint="eastAsia" w:ascii="仿宋" w:hAnsi="仿宋" w:eastAsia="仿宋" w:cs="仿宋"/>
          <w:snapToGrid w:val="0"/>
          <w:color w:val="000000"/>
          <w:spacing w:val="8"/>
          <w:kern w:val="0"/>
          <w:sz w:val="31"/>
          <w:szCs w:val="31"/>
          <w:lang w:val="en-US" w:eastAsia="zh-CN" w:bidi="ar-SA"/>
        </w:rPr>
        <w:t>、吊柱式，竖式气电箱长度≥800mm；</w:t>
      </w:r>
    </w:p>
    <w:p>
      <w:pPr>
        <w:pStyle w:val="14"/>
        <w:ind w:firstLine="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2、气电箱旋转角度≥340°；</w:t>
      </w:r>
    </w:p>
    <w:p>
      <w:pPr>
        <w:pStyle w:val="14"/>
        <w:ind w:firstLine="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3、净负载能力≥120Kg；</w:t>
      </w:r>
    </w:p>
    <w:p>
      <w:pPr>
        <w:pStyle w:val="14"/>
        <w:ind w:firstLine="0"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4、每套配置：10个三芯电源插头、2个氧气接口、2个负压接口、1个压缩空气接口、1个网口，接口类型为美式；</w:t>
      </w:r>
    </w:p>
    <w:p>
      <w:pPr>
        <w:pStyle w:val="14"/>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二层设备托盘，其中一个带抽屉，托盘为便于清洁，带标准附件导轨，尺寸≥430X480mm；</w:t>
      </w:r>
    </w:p>
    <w:p>
      <w:pPr>
        <w:pStyle w:val="14"/>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输液架最大标称工作承重应不小于30KG；</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配置网篮、输液架、集线器等附件，附件均可独立安装。</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bookmarkStart w:id="30" w:name="_GoBack"/>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bookmarkEnd w:id="30"/>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7367"/>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1A8F2F-93D0-401E-9398-B4ABD968B1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EBEC4F7C-18F5-4F0C-B26E-AC70F2B6A5BB}"/>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88B65794-DBC8-42E4-96BB-674F7A1C918E}"/>
  </w:font>
  <w:font w:name="仿宋">
    <w:panose1 w:val="02010609060101010101"/>
    <w:charset w:val="86"/>
    <w:family w:val="modern"/>
    <w:pitch w:val="default"/>
    <w:sig w:usb0="800002BF" w:usb1="38CF7CFA" w:usb2="00000016" w:usb3="00000000" w:csb0="00040001" w:csb1="00000000"/>
    <w:embedRegular r:id="rId4" w:fontKey="{3BA66127-E7F1-4132-BFAE-E4409DBE0754}"/>
  </w:font>
  <w:font w:name="方正仿宋_GB2312">
    <w:panose1 w:val="02000000000000000000"/>
    <w:charset w:val="86"/>
    <w:family w:val="auto"/>
    <w:pitch w:val="default"/>
    <w:sig w:usb0="A00002BF" w:usb1="184F6CFA" w:usb2="00000012" w:usb3="00000000" w:csb0="00040001" w:csb1="00000000"/>
    <w:embedRegular r:id="rId5" w:fontKey="{67DE3E91-25C5-442F-863F-E87509313289}"/>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4CEB09B1"/>
    <w:multiLevelType w:val="multilevel"/>
    <w:tmpl w:val="4CEB09B1"/>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C3729D8"/>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2024-03-11T06:46:18Z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