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宋体" w:hAnsi="宋体" w:eastAsia="宋体" w:cs="宋体"/>
          <w:color w:val="auto"/>
          <w:kern w:val="2"/>
          <w:sz w:val="24"/>
          <w:szCs w:val="24"/>
          <w:lang w:val="en-US" w:eastAsia="zh-CN" w:bidi="ar-SA"/>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手术室办公生活区改造工程造价咨询服务</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004</w:t>
      </w:r>
      <w:bookmarkStart w:id="30" w:name="_GoBack"/>
      <w:bookmarkEnd w:id="30"/>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1月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lang w:val="en-US" w:eastAsia="zh-CN"/>
        </w:rPr>
        <w:t>手术室办公生活区改造工程造价咨询服务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拟将原门诊大楼三楼特需门诊改造成</w:t>
      </w:r>
      <w:r>
        <w:rPr>
          <w:rFonts w:ascii="仿宋" w:hAnsi="仿宋" w:eastAsia="仿宋" w:cs="仿宋"/>
          <w:spacing w:val="8"/>
          <w:sz w:val="31"/>
          <w:szCs w:val="31"/>
        </w:rPr>
        <w:fldChar w:fldCharType="begin"/>
      </w:r>
      <w:r>
        <w:rPr>
          <w:rFonts w:ascii="仿宋" w:hAnsi="仿宋" w:eastAsia="仿宋" w:cs="仿宋"/>
          <w:spacing w:val="8"/>
          <w:sz w:val="31"/>
          <w:szCs w:val="31"/>
        </w:rPr>
        <w:instrText xml:space="preserve"> HYPERLINK "https://www.myzxyy.com/departments_sssa0/" \t "_blank" </w:instrText>
      </w:r>
      <w:r>
        <w:rPr>
          <w:rFonts w:ascii="仿宋" w:hAnsi="仿宋" w:eastAsia="仿宋" w:cs="仿宋"/>
          <w:spacing w:val="8"/>
          <w:sz w:val="31"/>
          <w:szCs w:val="31"/>
        </w:rPr>
        <w:fldChar w:fldCharType="separate"/>
      </w:r>
      <w:r>
        <w:rPr>
          <w:rFonts w:hint="eastAsia" w:ascii="仿宋" w:hAnsi="仿宋" w:eastAsia="仿宋" w:cs="仿宋"/>
          <w:spacing w:val="8"/>
          <w:sz w:val="31"/>
          <w:szCs w:val="31"/>
        </w:rPr>
        <w:t>手术室</w:t>
      </w:r>
      <w:r>
        <w:rPr>
          <w:rFonts w:hint="eastAsia" w:ascii="仿宋" w:hAnsi="仿宋" w:eastAsia="仿宋" w:cs="仿宋"/>
          <w:spacing w:val="8"/>
          <w:sz w:val="31"/>
          <w:szCs w:val="31"/>
        </w:rPr>
        <w:fldChar w:fldCharType="end"/>
      </w:r>
      <w:r>
        <w:rPr>
          <w:rFonts w:hint="eastAsia" w:ascii="仿宋" w:hAnsi="仿宋" w:eastAsia="仿宋" w:cs="仿宋"/>
          <w:spacing w:val="8"/>
          <w:sz w:val="31"/>
          <w:szCs w:val="31"/>
        </w:rPr>
        <w:t>生活区，改造区域面积约429平方米，工程造价估算约9</w:t>
      </w:r>
      <w:r>
        <w:rPr>
          <w:rFonts w:ascii="仿宋" w:hAnsi="仿宋" w:eastAsia="仿宋" w:cs="仿宋"/>
          <w:spacing w:val="8"/>
          <w:sz w:val="31"/>
          <w:szCs w:val="31"/>
        </w:rPr>
        <w:t>2</w:t>
      </w:r>
      <w:r>
        <w:rPr>
          <w:rFonts w:hint="eastAsia" w:ascii="仿宋" w:hAnsi="仿宋" w:eastAsia="仿宋" w:cs="仿宋"/>
          <w:spacing w:val="8"/>
          <w:sz w:val="31"/>
          <w:szCs w:val="31"/>
        </w:rPr>
        <w:t>万元。</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8</w:t>
      </w:r>
      <w:r>
        <w:rPr>
          <w:rFonts w:hint="eastAsia" w:ascii="仿宋" w:hAnsi="仿宋" w:eastAsia="仿宋" w:cs="仿宋"/>
          <w:snapToGrid w:val="0"/>
          <w:color w:val="000000"/>
          <w:spacing w:val="8"/>
          <w:sz w:val="31"/>
          <w:szCs w:val="31"/>
          <w:lang w:val="en-US" w:eastAsia="zh-CN" w:bidi="ar-SA"/>
        </w:rPr>
        <w:t>、需提供营业执照，经营范围需标明具有相应工程造价咨询业务</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技术参数：</w:t>
      </w:r>
    </w:p>
    <w:p>
      <w:pPr>
        <w:pStyle w:val="19"/>
        <w:ind w:firstLine="652" w:firstLineChars="20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工程造价咨询服务应参照住房城乡建设部和国家工商行政管理总局制定的《建设工程造价咨询合同（示范文本）》（GF-2015-0212），以及国家现行的法律法规、技术标准、行业规范等。服务工作应包括以下几个方面：</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（1）工程量清单的编制、审核；</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（2）施工阶段全过程跟踪审计；</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（3）工程变更审核；</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（4）竣工结算的审核等服务。</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配置要求：</w:t>
      </w:r>
    </w:p>
    <w:p>
      <w:pPr>
        <w:pStyle w:val="19"/>
        <w:ind w:firstLine="652" w:firstLineChars="2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不低于2名造价员，1名一级注册造价师（需提供6个月以上人员社保证明）。</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服务要求：</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清单编制要结合施工图设计文件和医院实际角度充分控制造价和选材，从适用性、经济性以及合理性来综合考虑。</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w:t>
      </w:r>
    </w:p>
    <w:p>
      <w:pPr>
        <w:spacing w:line="36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2、工期要求：按医院要求，合同签订后15个工作日内完成工程量清单编制工作，并提供书面招标控制价报告。</w:t>
      </w:r>
    </w:p>
    <w:p>
      <w:pPr>
        <w:spacing w:line="360" w:lineRule="exact"/>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3、付款方式：经采购人确认并提供书面招标控制价报告后30日内支付合同价款的60%；通过工程竣工预验收后30天内支付合同金额的30%，工程竣工验收合格后30日内支付合同金额的10%。</w:t>
      </w:r>
    </w:p>
    <w:p>
      <w:pPr>
        <w:ind w:left="72"/>
        <w:outlineLvl w:val="0"/>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4、本项目不允许联合体投标。</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11832062"/>
      <w:bookmarkStart w:id="3" w:name="_Toc13563815"/>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479755777"/>
      <w:bookmarkStart w:id="18" w:name="_Toc1123174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82266104"/>
      <w:bookmarkStart w:id="27" w:name="_Toc443393358"/>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1D8602-A062-4BBA-A2DB-5E8B56D803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AA109317-7D59-423F-9964-42A1E1DD39B0}"/>
  </w:font>
  <w:font w:name="微软雅黑">
    <w:panose1 w:val="020B0503020204020204"/>
    <w:charset w:val="86"/>
    <w:family w:val="swiss"/>
    <w:pitch w:val="default"/>
    <w:sig w:usb0="80000287" w:usb1="2ACF3C50" w:usb2="00000016" w:usb3="00000000" w:csb0="0004001F" w:csb1="00000000"/>
    <w:embedRegular r:id="rId3" w:fontKey="{B0A842A6-98AB-4F55-981A-1EBED3235665}"/>
  </w:font>
  <w:font w:name="方正仿宋_GB2312">
    <w:panose1 w:val="02000000000000000000"/>
    <w:charset w:val="86"/>
    <w:family w:val="auto"/>
    <w:pitch w:val="default"/>
    <w:sig w:usb0="A00002BF" w:usb1="184F6CFA" w:usb2="00000012" w:usb3="00000000" w:csb0="00040001" w:csb1="00000000"/>
    <w:embedRegular r:id="rId4" w:fontKey="{EA593854-B970-4FC8-929D-B43D89EE3E7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4015CB0"/>
    <w:rsid w:val="1E500961"/>
    <w:rsid w:val="1F127F89"/>
    <w:rsid w:val="201725C8"/>
    <w:rsid w:val="29276970"/>
    <w:rsid w:val="2CB63FA3"/>
    <w:rsid w:val="4D3D691B"/>
    <w:rsid w:val="4F9D48D9"/>
    <w:rsid w:val="515646EF"/>
    <w:rsid w:val="586430DB"/>
    <w:rsid w:val="5C33726B"/>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2024-03-01T02:53:02Z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7624AA398FCA48B29EDE13EC3913FCAA_12</vt:lpwstr>
  </property>
</Properties>
</file>