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3FB39" w14:textId="77777777" w:rsidR="00CF1E45" w:rsidRPr="0077653B" w:rsidRDefault="00CF1E45" w:rsidP="00CF1E45">
      <w:pPr>
        <w:rPr>
          <w:rFonts w:ascii="仿宋" w:eastAsia="仿宋" w:hAnsi="仿宋"/>
          <w:b/>
          <w:bCs/>
          <w:sz w:val="28"/>
          <w:szCs w:val="28"/>
        </w:rPr>
      </w:pPr>
      <w:r w:rsidRPr="0077653B">
        <w:rPr>
          <w:rFonts w:ascii="仿宋" w:eastAsia="仿宋" w:hAnsi="仿宋" w:hint="eastAsia"/>
          <w:b/>
          <w:bCs/>
          <w:sz w:val="28"/>
          <w:szCs w:val="28"/>
        </w:rPr>
        <w:t>附件一</w:t>
      </w:r>
    </w:p>
    <w:p w14:paraId="1E797833" w14:textId="77777777" w:rsidR="00CF1E45" w:rsidRPr="002F0256" w:rsidRDefault="00CF1E45" w:rsidP="00CF1E45">
      <w:pPr>
        <w:spacing w:line="360" w:lineRule="auto"/>
        <w:jc w:val="center"/>
        <w:rPr>
          <w:rFonts w:ascii="仿宋" w:eastAsia="仿宋" w:hAnsi="仿宋" w:cs="宋体"/>
          <w:b/>
          <w:bCs/>
          <w:sz w:val="24"/>
          <w:szCs w:val="24"/>
        </w:rPr>
      </w:pPr>
      <w:r w:rsidRPr="002F0256">
        <w:rPr>
          <w:rFonts w:ascii="仿宋" w:eastAsia="仿宋" w:hAnsi="仿宋" w:cs="宋体" w:hint="eastAsia"/>
          <w:b/>
          <w:bCs/>
          <w:sz w:val="24"/>
          <w:szCs w:val="24"/>
        </w:rPr>
        <w:t>绵阳市麻醉与神经调控重点实验室开放课题立项明细表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279"/>
        <w:gridCol w:w="1091"/>
        <w:gridCol w:w="1223"/>
        <w:gridCol w:w="1180"/>
      </w:tblGrid>
      <w:tr w:rsidR="00CF1E45" w:rsidRPr="000E4305" w14:paraId="0B17EEF6" w14:textId="77777777" w:rsidTr="00F2719C">
        <w:trPr>
          <w:jc w:val="center"/>
        </w:trPr>
        <w:tc>
          <w:tcPr>
            <w:tcW w:w="1271" w:type="dxa"/>
            <w:shd w:val="clear" w:color="auto" w:fill="auto"/>
            <w:vAlign w:val="center"/>
          </w:tcPr>
          <w:p w14:paraId="350502BC" w14:textId="77777777" w:rsidR="00CF1E45" w:rsidRPr="000E4305" w:rsidRDefault="00CF1E45" w:rsidP="00F2719C">
            <w:pPr>
              <w:jc w:val="center"/>
              <w:rPr>
                <w:rFonts w:ascii="仿宋" w:eastAsia="仿宋" w:hAnsi="仿宋" w:hint="eastAsia"/>
                <w:sz w:val="24"/>
                <w:szCs w:val="24"/>
              </w:rPr>
            </w:pPr>
            <w:r w:rsidRPr="000E4305">
              <w:rPr>
                <w:rFonts w:ascii="仿宋" w:eastAsia="仿宋" w:hAnsi="仿宋" w:hint="eastAsia"/>
                <w:sz w:val="24"/>
                <w:szCs w:val="24"/>
              </w:rPr>
              <w:t>项目编号</w:t>
            </w:r>
          </w:p>
        </w:tc>
        <w:tc>
          <w:tcPr>
            <w:tcW w:w="3402" w:type="dxa"/>
            <w:shd w:val="clear" w:color="auto" w:fill="auto"/>
            <w:vAlign w:val="center"/>
          </w:tcPr>
          <w:p w14:paraId="1C46C7B5" w14:textId="77777777" w:rsidR="00CF1E45" w:rsidRPr="000E4305" w:rsidRDefault="00CF1E45" w:rsidP="00F2719C">
            <w:pPr>
              <w:jc w:val="center"/>
              <w:rPr>
                <w:rFonts w:ascii="仿宋" w:eastAsia="仿宋" w:hAnsi="仿宋" w:hint="eastAsia"/>
                <w:sz w:val="24"/>
                <w:szCs w:val="24"/>
              </w:rPr>
            </w:pPr>
            <w:r w:rsidRPr="000E4305">
              <w:rPr>
                <w:rFonts w:ascii="仿宋" w:eastAsia="仿宋" w:hAnsi="仿宋" w:hint="eastAsia"/>
                <w:sz w:val="24"/>
                <w:szCs w:val="24"/>
              </w:rPr>
              <w:t>课题名称</w:t>
            </w:r>
          </w:p>
        </w:tc>
        <w:tc>
          <w:tcPr>
            <w:tcW w:w="1134" w:type="dxa"/>
            <w:shd w:val="clear" w:color="auto" w:fill="auto"/>
            <w:vAlign w:val="center"/>
          </w:tcPr>
          <w:p w14:paraId="62682353" w14:textId="77777777" w:rsidR="00CF1E45" w:rsidRPr="000E4305" w:rsidRDefault="00CF1E45" w:rsidP="00F2719C">
            <w:pPr>
              <w:jc w:val="center"/>
              <w:rPr>
                <w:rFonts w:ascii="仿宋" w:eastAsia="仿宋" w:hAnsi="仿宋" w:hint="eastAsia"/>
                <w:sz w:val="24"/>
                <w:szCs w:val="24"/>
              </w:rPr>
            </w:pPr>
            <w:r w:rsidRPr="000E4305">
              <w:rPr>
                <w:rFonts w:ascii="仿宋" w:eastAsia="仿宋" w:hAnsi="仿宋" w:hint="eastAsia"/>
                <w:sz w:val="24"/>
                <w:szCs w:val="24"/>
              </w:rPr>
              <w:t>负责人</w:t>
            </w:r>
          </w:p>
        </w:tc>
        <w:tc>
          <w:tcPr>
            <w:tcW w:w="1276" w:type="dxa"/>
            <w:shd w:val="clear" w:color="auto" w:fill="auto"/>
            <w:vAlign w:val="center"/>
          </w:tcPr>
          <w:p w14:paraId="50200650" w14:textId="77777777" w:rsidR="00CF1E45" w:rsidRPr="000E4305" w:rsidRDefault="00CF1E45" w:rsidP="00F2719C">
            <w:pPr>
              <w:jc w:val="center"/>
              <w:rPr>
                <w:rFonts w:ascii="仿宋" w:eastAsia="仿宋" w:hAnsi="仿宋" w:hint="eastAsia"/>
                <w:sz w:val="24"/>
                <w:szCs w:val="24"/>
              </w:rPr>
            </w:pPr>
            <w:r w:rsidRPr="000E4305">
              <w:rPr>
                <w:rFonts w:ascii="仿宋" w:eastAsia="仿宋" w:hAnsi="仿宋" w:hint="eastAsia"/>
                <w:sz w:val="24"/>
                <w:szCs w:val="24"/>
              </w:rPr>
              <w:t>立项级别</w:t>
            </w:r>
          </w:p>
        </w:tc>
        <w:tc>
          <w:tcPr>
            <w:tcW w:w="1213" w:type="dxa"/>
            <w:shd w:val="clear" w:color="auto" w:fill="auto"/>
            <w:vAlign w:val="center"/>
          </w:tcPr>
          <w:p w14:paraId="779EF8C3" w14:textId="77777777" w:rsidR="00CF1E45" w:rsidRPr="000E4305" w:rsidRDefault="00CF1E45" w:rsidP="00F2719C">
            <w:pPr>
              <w:jc w:val="center"/>
              <w:rPr>
                <w:rFonts w:ascii="仿宋" w:eastAsia="仿宋" w:hAnsi="仿宋"/>
                <w:sz w:val="24"/>
                <w:szCs w:val="24"/>
              </w:rPr>
            </w:pPr>
            <w:r w:rsidRPr="000E4305">
              <w:rPr>
                <w:rFonts w:ascii="仿宋" w:eastAsia="仿宋" w:hAnsi="仿宋" w:hint="eastAsia"/>
                <w:sz w:val="24"/>
                <w:szCs w:val="24"/>
              </w:rPr>
              <w:t>立项金额</w:t>
            </w:r>
          </w:p>
          <w:p w14:paraId="28BA388B" w14:textId="77777777" w:rsidR="00CF1E45" w:rsidRPr="000E4305" w:rsidRDefault="00CF1E45" w:rsidP="00F2719C">
            <w:pPr>
              <w:jc w:val="center"/>
              <w:rPr>
                <w:rFonts w:ascii="仿宋" w:eastAsia="仿宋" w:hAnsi="仿宋" w:hint="eastAsia"/>
                <w:sz w:val="24"/>
                <w:szCs w:val="24"/>
              </w:rPr>
            </w:pPr>
            <w:r w:rsidRPr="000E4305">
              <w:rPr>
                <w:rFonts w:ascii="仿宋" w:eastAsia="仿宋" w:hAnsi="仿宋" w:hint="eastAsia"/>
                <w:sz w:val="24"/>
                <w:szCs w:val="24"/>
              </w:rPr>
              <w:t>（万元）</w:t>
            </w:r>
          </w:p>
        </w:tc>
      </w:tr>
      <w:tr w:rsidR="00CF1E45" w:rsidRPr="000E4305" w14:paraId="17B55675" w14:textId="77777777" w:rsidTr="00F2719C">
        <w:trPr>
          <w:jc w:val="center"/>
        </w:trPr>
        <w:tc>
          <w:tcPr>
            <w:tcW w:w="1271" w:type="dxa"/>
            <w:shd w:val="clear" w:color="auto" w:fill="auto"/>
            <w:vAlign w:val="center"/>
          </w:tcPr>
          <w:p w14:paraId="30370B44"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202301</w:t>
            </w:r>
          </w:p>
        </w:tc>
        <w:tc>
          <w:tcPr>
            <w:tcW w:w="3402" w:type="dxa"/>
            <w:shd w:val="clear" w:color="auto" w:fill="auto"/>
            <w:vAlign w:val="center"/>
          </w:tcPr>
          <w:p w14:paraId="4AB7F683"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麻醉对缺血性脑卒中小鼠模型脑功能的影响研究</w:t>
            </w:r>
          </w:p>
        </w:tc>
        <w:tc>
          <w:tcPr>
            <w:tcW w:w="1134" w:type="dxa"/>
            <w:shd w:val="clear" w:color="auto" w:fill="auto"/>
            <w:vAlign w:val="center"/>
          </w:tcPr>
          <w:p w14:paraId="0E78CC05"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何</w:t>
            </w:r>
            <w:r>
              <w:rPr>
                <w:rFonts w:ascii="Times New Roman" w:eastAsia="仿宋" w:hAnsi="Times New Roman" w:hint="eastAsia"/>
                <w:sz w:val="24"/>
                <w:szCs w:val="24"/>
              </w:rPr>
              <w:t xml:space="preserve"> </w:t>
            </w:r>
            <w:r w:rsidRPr="002F0256">
              <w:rPr>
                <w:rFonts w:ascii="Times New Roman" w:eastAsia="仿宋" w:hAnsi="Times New Roman"/>
                <w:sz w:val="24"/>
                <w:szCs w:val="24"/>
              </w:rPr>
              <w:t>飞</w:t>
            </w:r>
          </w:p>
        </w:tc>
        <w:tc>
          <w:tcPr>
            <w:tcW w:w="1276" w:type="dxa"/>
            <w:shd w:val="clear" w:color="auto" w:fill="auto"/>
            <w:vAlign w:val="center"/>
          </w:tcPr>
          <w:p w14:paraId="4B3799C8"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重点</w:t>
            </w:r>
          </w:p>
        </w:tc>
        <w:tc>
          <w:tcPr>
            <w:tcW w:w="1213" w:type="dxa"/>
            <w:shd w:val="clear" w:color="auto" w:fill="auto"/>
            <w:vAlign w:val="center"/>
          </w:tcPr>
          <w:p w14:paraId="2F136FD0"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5</w:t>
            </w:r>
          </w:p>
        </w:tc>
      </w:tr>
      <w:tr w:rsidR="00CF1E45" w:rsidRPr="000E4305" w14:paraId="55C3D64A" w14:textId="77777777" w:rsidTr="00F2719C">
        <w:trPr>
          <w:jc w:val="center"/>
        </w:trPr>
        <w:tc>
          <w:tcPr>
            <w:tcW w:w="1271" w:type="dxa"/>
            <w:shd w:val="clear" w:color="auto" w:fill="auto"/>
            <w:vAlign w:val="center"/>
          </w:tcPr>
          <w:p w14:paraId="22C27C74"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202302</w:t>
            </w:r>
          </w:p>
        </w:tc>
        <w:tc>
          <w:tcPr>
            <w:tcW w:w="3402" w:type="dxa"/>
            <w:shd w:val="clear" w:color="auto" w:fill="auto"/>
            <w:vAlign w:val="center"/>
          </w:tcPr>
          <w:p w14:paraId="1A2D3F97"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激光在神经科</w:t>
            </w:r>
            <w:proofErr w:type="gramStart"/>
            <w:r w:rsidRPr="002F0256">
              <w:rPr>
                <w:rFonts w:ascii="Times New Roman" w:eastAsia="仿宋" w:hAnsi="Times New Roman"/>
                <w:sz w:val="24"/>
                <w:szCs w:val="24"/>
              </w:rPr>
              <w:t>围术期的</w:t>
            </w:r>
            <w:proofErr w:type="gramEnd"/>
            <w:r w:rsidRPr="002F0256">
              <w:rPr>
                <w:rFonts w:ascii="Times New Roman" w:eastAsia="仿宋" w:hAnsi="Times New Roman"/>
                <w:sz w:val="24"/>
                <w:szCs w:val="24"/>
              </w:rPr>
              <w:t>生物学效应与保护机制研究</w:t>
            </w:r>
          </w:p>
        </w:tc>
        <w:tc>
          <w:tcPr>
            <w:tcW w:w="1134" w:type="dxa"/>
            <w:shd w:val="clear" w:color="auto" w:fill="auto"/>
            <w:vAlign w:val="center"/>
          </w:tcPr>
          <w:p w14:paraId="54ED4857"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康明强</w:t>
            </w:r>
          </w:p>
        </w:tc>
        <w:tc>
          <w:tcPr>
            <w:tcW w:w="1276" w:type="dxa"/>
            <w:shd w:val="clear" w:color="auto" w:fill="auto"/>
            <w:vAlign w:val="center"/>
          </w:tcPr>
          <w:p w14:paraId="2DFD0C32"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重点</w:t>
            </w:r>
          </w:p>
        </w:tc>
        <w:tc>
          <w:tcPr>
            <w:tcW w:w="1213" w:type="dxa"/>
            <w:shd w:val="clear" w:color="auto" w:fill="auto"/>
            <w:vAlign w:val="center"/>
          </w:tcPr>
          <w:p w14:paraId="5FC9A4CB"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5</w:t>
            </w:r>
          </w:p>
        </w:tc>
      </w:tr>
      <w:tr w:rsidR="00CF1E45" w:rsidRPr="000E4305" w14:paraId="181A211A" w14:textId="77777777" w:rsidTr="00F2719C">
        <w:trPr>
          <w:jc w:val="center"/>
        </w:trPr>
        <w:tc>
          <w:tcPr>
            <w:tcW w:w="1271" w:type="dxa"/>
            <w:shd w:val="clear" w:color="auto" w:fill="auto"/>
            <w:vAlign w:val="center"/>
          </w:tcPr>
          <w:p w14:paraId="5500A6DA"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202303</w:t>
            </w:r>
          </w:p>
        </w:tc>
        <w:tc>
          <w:tcPr>
            <w:tcW w:w="3402" w:type="dxa"/>
            <w:shd w:val="clear" w:color="auto" w:fill="auto"/>
            <w:vAlign w:val="center"/>
          </w:tcPr>
          <w:p w14:paraId="150DEE76"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基于表面增强拉曼光谱的多发性硬化脑脊液及血清</w:t>
            </w:r>
            <w:proofErr w:type="spellStart"/>
            <w:r w:rsidRPr="002F0256">
              <w:rPr>
                <w:rFonts w:ascii="Times New Roman" w:eastAsia="仿宋" w:hAnsi="Times New Roman"/>
                <w:sz w:val="24"/>
                <w:szCs w:val="24"/>
              </w:rPr>
              <w:t>NfL</w:t>
            </w:r>
            <w:proofErr w:type="spellEnd"/>
            <w:r w:rsidRPr="002F0256">
              <w:rPr>
                <w:rFonts w:ascii="Times New Roman" w:eastAsia="仿宋" w:hAnsi="Times New Roman"/>
                <w:sz w:val="24"/>
                <w:szCs w:val="24"/>
              </w:rPr>
              <w:t>快检研究</w:t>
            </w:r>
          </w:p>
        </w:tc>
        <w:tc>
          <w:tcPr>
            <w:tcW w:w="1134" w:type="dxa"/>
            <w:shd w:val="clear" w:color="auto" w:fill="auto"/>
            <w:vAlign w:val="center"/>
          </w:tcPr>
          <w:p w14:paraId="5281E29B"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张献文</w:t>
            </w:r>
          </w:p>
        </w:tc>
        <w:tc>
          <w:tcPr>
            <w:tcW w:w="1276" w:type="dxa"/>
            <w:shd w:val="clear" w:color="auto" w:fill="auto"/>
            <w:vAlign w:val="center"/>
          </w:tcPr>
          <w:p w14:paraId="5BDF47EC"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一般</w:t>
            </w:r>
          </w:p>
        </w:tc>
        <w:tc>
          <w:tcPr>
            <w:tcW w:w="1213" w:type="dxa"/>
            <w:shd w:val="clear" w:color="auto" w:fill="auto"/>
            <w:vAlign w:val="center"/>
          </w:tcPr>
          <w:p w14:paraId="1FD70CFE"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2</w:t>
            </w:r>
          </w:p>
        </w:tc>
      </w:tr>
      <w:tr w:rsidR="00CF1E45" w:rsidRPr="000E4305" w14:paraId="6661A4C6" w14:textId="77777777" w:rsidTr="00F2719C">
        <w:trPr>
          <w:jc w:val="center"/>
        </w:trPr>
        <w:tc>
          <w:tcPr>
            <w:tcW w:w="1271" w:type="dxa"/>
            <w:shd w:val="clear" w:color="auto" w:fill="auto"/>
            <w:vAlign w:val="center"/>
          </w:tcPr>
          <w:p w14:paraId="3D749818"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202304</w:t>
            </w:r>
          </w:p>
        </w:tc>
        <w:tc>
          <w:tcPr>
            <w:tcW w:w="3402" w:type="dxa"/>
            <w:shd w:val="clear" w:color="auto" w:fill="auto"/>
            <w:vAlign w:val="center"/>
          </w:tcPr>
          <w:p w14:paraId="3CFBACA8"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FLASH</w:t>
            </w:r>
            <w:r w:rsidRPr="002F0256">
              <w:rPr>
                <w:rFonts w:ascii="Times New Roman" w:eastAsia="仿宋" w:hAnsi="Times New Roman"/>
                <w:sz w:val="24"/>
                <w:szCs w:val="24"/>
              </w:rPr>
              <w:t>放疗对胶质母细胞瘤微环境内细胞衰老作用的研究</w:t>
            </w:r>
          </w:p>
        </w:tc>
        <w:tc>
          <w:tcPr>
            <w:tcW w:w="1134" w:type="dxa"/>
            <w:shd w:val="clear" w:color="auto" w:fill="auto"/>
            <w:vAlign w:val="center"/>
          </w:tcPr>
          <w:p w14:paraId="1E1B7E01"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夏</w:t>
            </w:r>
            <w:r>
              <w:rPr>
                <w:rFonts w:ascii="Times New Roman" w:eastAsia="仿宋" w:hAnsi="Times New Roman" w:hint="eastAsia"/>
                <w:sz w:val="24"/>
                <w:szCs w:val="24"/>
              </w:rPr>
              <w:t xml:space="preserve"> </w:t>
            </w:r>
            <w:r w:rsidRPr="002F0256">
              <w:rPr>
                <w:rFonts w:ascii="Times New Roman" w:eastAsia="仿宋" w:hAnsi="Times New Roman"/>
                <w:sz w:val="24"/>
                <w:szCs w:val="24"/>
              </w:rPr>
              <w:t>阳</w:t>
            </w:r>
          </w:p>
        </w:tc>
        <w:tc>
          <w:tcPr>
            <w:tcW w:w="1276" w:type="dxa"/>
            <w:shd w:val="clear" w:color="auto" w:fill="auto"/>
            <w:vAlign w:val="center"/>
          </w:tcPr>
          <w:p w14:paraId="1FBD9F18"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一般</w:t>
            </w:r>
          </w:p>
        </w:tc>
        <w:tc>
          <w:tcPr>
            <w:tcW w:w="1213" w:type="dxa"/>
            <w:shd w:val="clear" w:color="auto" w:fill="auto"/>
            <w:vAlign w:val="center"/>
          </w:tcPr>
          <w:p w14:paraId="488D0E12"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2</w:t>
            </w:r>
          </w:p>
        </w:tc>
      </w:tr>
      <w:tr w:rsidR="00CF1E45" w:rsidRPr="000E4305" w14:paraId="0A47B8AA" w14:textId="77777777" w:rsidTr="00F2719C">
        <w:trPr>
          <w:jc w:val="center"/>
        </w:trPr>
        <w:tc>
          <w:tcPr>
            <w:tcW w:w="1271" w:type="dxa"/>
            <w:shd w:val="clear" w:color="auto" w:fill="auto"/>
            <w:vAlign w:val="center"/>
          </w:tcPr>
          <w:p w14:paraId="4AFB30C5"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202305</w:t>
            </w:r>
          </w:p>
        </w:tc>
        <w:tc>
          <w:tcPr>
            <w:tcW w:w="3402" w:type="dxa"/>
            <w:shd w:val="clear" w:color="auto" w:fill="auto"/>
            <w:vAlign w:val="center"/>
          </w:tcPr>
          <w:p w14:paraId="218AE48A" w14:textId="77777777" w:rsidR="00CF1E45" w:rsidRPr="002F0256" w:rsidRDefault="00CF1E45" w:rsidP="00F2719C">
            <w:pPr>
              <w:jc w:val="left"/>
              <w:rPr>
                <w:rFonts w:ascii="Times New Roman" w:eastAsia="仿宋" w:hAnsi="Times New Roman" w:hint="eastAsia"/>
                <w:sz w:val="24"/>
                <w:szCs w:val="24"/>
              </w:rPr>
            </w:pPr>
            <w:r>
              <w:rPr>
                <w:rFonts w:ascii="Times New Roman" w:eastAsia="仿宋" w:hAnsi="Times New Roman" w:hint="eastAsia"/>
                <w:sz w:val="24"/>
                <w:szCs w:val="24"/>
              </w:rPr>
              <w:t>视黄素信号轴激活小胶质细胞突触修剪改善大鼠孤独症</w:t>
            </w:r>
            <w:proofErr w:type="gramStart"/>
            <w:r>
              <w:rPr>
                <w:rFonts w:ascii="Times New Roman" w:eastAsia="仿宋" w:hAnsi="Times New Roman" w:hint="eastAsia"/>
                <w:sz w:val="24"/>
                <w:szCs w:val="24"/>
              </w:rPr>
              <w:t>样行为</w:t>
            </w:r>
            <w:proofErr w:type="gramEnd"/>
            <w:r>
              <w:rPr>
                <w:rFonts w:ascii="Times New Roman" w:eastAsia="仿宋" w:hAnsi="Times New Roman" w:hint="eastAsia"/>
                <w:sz w:val="24"/>
                <w:szCs w:val="24"/>
              </w:rPr>
              <w:t>的机制研究</w:t>
            </w:r>
          </w:p>
        </w:tc>
        <w:tc>
          <w:tcPr>
            <w:tcW w:w="1134" w:type="dxa"/>
            <w:shd w:val="clear" w:color="auto" w:fill="auto"/>
            <w:vAlign w:val="center"/>
          </w:tcPr>
          <w:p w14:paraId="686E35FB"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刘</w:t>
            </w:r>
            <w:r>
              <w:rPr>
                <w:rFonts w:ascii="Times New Roman" w:eastAsia="仿宋" w:hAnsi="Times New Roman" w:hint="eastAsia"/>
                <w:sz w:val="24"/>
                <w:szCs w:val="24"/>
              </w:rPr>
              <w:t xml:space="preserve"> </w:t>
            </w:r>
            <w:r w:rsidRPr="002F0256">
              <w:rPr>
                <w:rFonts w:ascii="Times New Roman" w:eastAsia="仿宋" w:hAnsi="Times New Roman"/>
                <w:sz w:val="24"/>
                <w:szCs w:val="24"/>
              </w:rPr>
              <w:t>欢</w:t>
            </w:r>
          </w:p>
        </w:tc>
        <w:tc>
          <w:tcPr>
            <w:tcW w:w="1276" w:type="dxa"/>
            <w:shd w:val="clear" w:color="auto" w:fill="auto"/>
            <w:vAlign w:val="center"/>
          </w:tcPr>
          <w:p w14:paraId="6719D2B2"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一般</w:t>
            </w:r>
          </w:p>
        </w:tc>
        <w:tc>
          <w:tcPr>
            <w:tcW w:w="1213" w:type="dxa"/>
            <w:shd w:val="clear" w:color="auto" w:fill="auto"/>
            <w:vAlign w:val="center"/>
          </w:tcPr>
          <w:p w14:paraId="64B4E1CF"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2</w:t>
            </w:r>
          </w:p>
        </w:tc>
      </w:tr>
      <w:tr w:rsidR="00CF1E45" w:rsidRPr="000E4305" w14:paraId="7F57BA2F" w14:textId="77777777" w:rsidTr="00F2719C">
        <w:trPr>
          <w:jc w:val="center"/>
        </w:trPr>
        <w:tc>
          <w:tcPr>
            <w:tcW w:w="1271" w:type="dxa"/>
            <w:shd w:val="clear" w:color="auto" w:fill="auto"/>
            <w:vAlign w:val="center"/>
          </w:tcPr>
          <w:p w14:paraId="7C840BE6"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202306</w:t>
            </w:r>
          </w:p>
        </w:tc>
        <w:tc>
          <w:tcPr>
            <w:tcW w:w="3402" w:type="dxa"/>
            <w:shd w:val="clear" w:color="auto" w:fill="auto"/>
            <w:vAlign w:val="center"/>
          </w:tcPr>
          <w:p w14:paraId="70C974F5"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靶向</w:t>
            </w:r>
            <w:r w:rsidRPr="002F0256">
              <w:rPr>
                <w:rFonts w:ascii="Times New Roman" w:eastAsia="仿宋" w:hAnsi="Times New Roman"/>
                <w:sz w:val="24"/>
                <w:szCs w:val="24"/>
              </w:rPr>
              <w:t>TSPO</w:t>
            </w:r>
            <w:r w:rsidRPr="002F0256">
              <w:rPr>
                <w:rFonts w:ascii="Times New Roman" w:eastAsia="仿宋" w:hAnsi="Times New Roman"/>
                <w:sz w:val="24"/>
                <w:szCs w:val="24"/>
              </w:rPr>
              <w:t>的</w:t>
            </w:r>
            <w:r w:rsidRPr="002F0256">
              <w:rPr>
                <w:rFonts w:ascii="Times New Roman" w:eastAsia="仿宋" w:hAnsi="Times New Roman"/>
                <w:sz w:val="24"/>
                <w:szCs w:val="24"/>
              </w:rPr>
              <w:t>PET/CT</w:t>
            </w:r>
            <w:r w:rsidRPr="002F0256">
              <w:rPr>
                <w:rFonts w:ascii="Times New Roman" w:eastAsia="仿宋" w:hAnsi="Times New Roman"/>
                <w:sz w:val="24"/>
                <w:szCs w:val="24"/>
              </w:rPr>
              <w:t>影像学探测阿尔兹海默病神经炎症反应的研究</w:t>
            </w:r>
          </w:p>
        </w:tc>
        <w:tc>
          <w:tcPr>
            <w:tcW w:w="1134" w:type="dxa"/>
            <w:shd w:val="clear" w:color="auto" w:fill="auto"/>
            <w:vAlign w:val="center"/>
          </w:tcPr>
          <w:p w14:paraId="7B98C553" w14:textId="77777777" w:rsidR="00CF1E45" w:rsidRPr="002F0256" w:rsidRDefault="00CF1E45" w:rsidP="00F2719C">
            <w:pPr>
              <w:jc w:val="center"/>
              <w:rPr>
                <w:rFonts w:ascii="Times New Roman" w:eastAsia="仿宋" w:hAnsi="Times New Roman"/>
                <w:sz w:val="24"/>
                <w:szCs w:val="24"/>
              </w:rPr>
            </w:pPr>
            <w:proofErr w:type="gramStart"/>
            <w:r w:rsidRPr="002F0256">
              <w:rPr>
                <w:rFonts w:ascii="Times New Roman" w:eastAsia="仿宋" w:hAnsi="Times New Roman"/>
                <w:sz w:val="24"/>
                <w:szCs w:val="24"/>
              </w:rPr>
              <w:t>唐宇凤</w:t>
            </w:r>
            <w:proofErr w:type="gramEnd"/>
          </w:p>
        </w:tc>
        <w:tc>
          <w:tcPr>
            <w:tcW w:w="1276" w:type="dxa"/>
            <w:shd w:val="clear" w:color="auto" w:fill="auto"/>
            <w:vAlign w:val="center"/>
          </w:tcPr>
          <w:p w14:paraId="2ED6F7C4"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一般</w:t>
            </w:r>
          </w:p>
        </w:tc>
        <w:tc>
          <w:tcPr>
            <w:tcW w:w="1213" w:type="dxa"/>
            <w:shd w:val="clear" w:color="auto" w:fill="auto"/>
            <w:vAlign w:val="center"/>
          </w:tcPr>
          <w:p w14:paraId="07EBE25D"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2</w:t>
            </w:r>
          </w:p>
        </w:tc>
      </w:tr>
      <w:tr w:rsidR="00CF1E45" w:rsidRPr="000E4305" w14:paraId="6D4AE4B1" w14:textId="77777777" w:rsidTr="00F2719C">
        <w:trPr>
          <w:jc w:val="center"/>
        </w:trPr>
        <w:tc>
          <w:tcPr>
            <w:tcW w:w="1271" w:type="dxa"/>
            <w:shd w:val="clear" w:color="auto" w:fill="auto"/>
            <w:vAlign w:val="center"/>
          </w:tcPr>
          <w:p w14:paraId="638EAA50"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202307</w:t>
            </w:r>
          </w:p>
        </w:tc>
        <w:tc>
          <w:tcPr>
            <w:tcW w:w="3402" w:type="dxa"/>
            <w:shd w:val="clear" w:color="auto" w:fill="auto"/>
            <w:vAlign w:val="center"/>
          </w:tcPr>
          <w:p w14:paraId="7328A809"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动态脑血流自动调节功能与帕金森病运动症状的相关性研究</w:t>
            </w:r>
          </w:p>
        </w:tc>
        <w:tc>
          <w:tcPr>
            <w:tcW w:w="1134" w:type="dxa"/>
            <w:shd w:val="clear" w:color="auto" w:fill="auto"/>
            <w:vAlign w:val="center"/>
          </w:tcPr>
          <w:p w14:paraId="79C34D76"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曾</w:t>
            </w:r>
            <w:r>
              <w:rPr>
                <w:rFonts w:ascii="Times New Roman" w:eastAsia="仿宋" w:hAnsi="Times New Roman" w:hint="eastAsia"/>
                <w:sz w:val="24"/>
                <w:szCs w:val="24"/>
              </w:rPr>
              <w:t xml:space="preserve"> </w:t>
            </w:r>
            <w:proofErr w:type="gramStart"/>
            <w:r w:rsidRPr="002F0256">
              <w:rPr>
                <w:rFonts w:ascii="Times New Roman" w:eastAsia="仿宋" w:hAnsi="Times New Roman"/>
                <w:sz w:val="24"/>
                <w:szCs w:val="24"/>
              </w:rPr>
              <w:t>婷</w:t>
            </w:r>
            <w:proofErr w:type="gramEnd"/>
          </w:p>
        </w:tc>
        <w:tc>
          <w:tcPr>
            <w:tcW w:w="1276" w:type="dxa"/>
            <w:shd w:val="clear" w:color="auto" w:fill="auto"/>
            <w:vAlign w:val="center"/>
          </w:tcPr>
          <w:p w14:paraId="547FB328"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青年</w:t>
            </w:r>
          </w:p>
        </w:tc>
        <w:tc>
          <w:tcPr>
            <w:tcW w:w="1213" w:type="dxa"/>
            <w:shd w:val="clear" w:color="auto" w:fill="auto"/>
            <w:vAlign w:val="center"/>
          </w:tcPr>
          <w:p w14:paraId="4208F925"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1</w:t>
            </w:r>
          </w:p>
        </w:tc>
      </w:tr>
      <w:tr w:rsidR="00CF1E45" w:rsidRPr="000E4305" w14:paraId="4F165651" w14:textId="77777777" w:rsidTr="00F2719C">
        <w:trPr>
          <w:jc w:val="center"/>
        </w:trPr>
        <w:tc>
          <w:tcPr>
            <w:tcW w:w="1271" w:type="dxa"/>
            <w:shd w:val="clear" w:color="auto" w:fill="auto"/>
            <w:vAlign w:val="center"/>
          </w:tcPr>
          <w:p w14:paraId="6D345BD9"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202308</w:t>
            </w:r>
          </w:p>
        </w:tc>
        <w:tc>
          <w:tcPr>
            <w:tcW w:w="3402" w:type="dxa"/>
            <w:shd w:val="clear" w:color="auto" w:fill="auto"/>
            <w:vAlign w:val="center"/>
          </w:tcPr>
          <w:p w14:paraId="0CB49649"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经颅磁刺激对不同亚型帕金森病冻结步态的神经调控作用及机制研究</w:t>
            </w:r>
          </w:p>
        </w:tc>
        <w:tc>
          <w:tcPr>
            <w:tcW w:w="1134" w:type="dxa"/>
            <w:shd w:val="clear" w:color="auto" w:fill="auto"/>
            <w:vAlign w:val="center"/>
          </w:tcPr>
          <w:p w14:paraId="06F62B24"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袁晓琴</w:t>
            </w:r>
          </w:p>
        </w:tc>
        <w:tc>
          <w:tcPr>
            <w:tcW w:w="1276" w:type="dxa"/>
            <w:shd w:val="clear" w:color="auto" w:fill="auto"/>
            <w:vAlign w:val="center"/>
          </w:tcPr>
          <w:p w14:paraId="2CE1B588"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青年</w:t>
            </w:r>
          </w:p>
        </w:tc>
        <w:tc>
          <w:tcPr>
            <w:tcW w:w="1213" w:type="dxa"/>
            <w:shd w:val="clear" w:color="auto" w:fill="auto"/>
            <w:vAlign w:val="center"/>
          </w:tcPr>
          <w:p w14:paraId="69FDF7BF"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1</w:t>
            </w:r>
          </w:p>
        </w:tc>
      </w:tr>
      <w:tr w:rsidR="00CF1E45" w:rsidRPr="000E4305" w14:paraId="79B7323A" w14:textId="77777777" w:rsidTr="00F2719C">
        <w:trPr>
          <w:jc w:val="center"/>
        </w:trPr>
        <w:tc>
          <w:tcPr>
            <w:tcW w:w="1271" w:type="dxa"/>
            <w:shd w:val="clear" w:color="auto" w:fill="auto"/>
            <w:vAlign w:val="center"/>
          </w:tcPr>
          <w:p w14:paraId="26FA4BE7"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202309</w:t>
            </w:r>
          </w:p>
        </w:tc>
        <w:tc>
          <w:tcPr>
            <w:tcW w:w="3402" w:type="dxa"/>
            <w:shd w:val="clear" w:color="auto" w:fill="auto"/>
            <w:vAlign w:val="center"/>
          </w:tcPr>
          <w:p w14:paraId="6B3E94AA"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艾司氯胺酮对神经炎症致认知功能障碍的影响研究</w:t>
            </w:r>
          </w:p>
        </w:tc>
        <w:tc>
          <w:tcPr>
            <w:tcW w:w="1134" w:type="dxa"/>
            <w:shd w:val="clear" w:color="auto" w:fill="auto"/>
            <w:vAlign w:val="center"/>
          </w:tcPr>
          <w:p w14:paraId="5ADA1CFE"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邹和林</w:t>
            </w:r>
          </w:p>
        </w:tc>
        <w:tc>
          <w:tcPr>
            <w:tcW w:w="1276" w:type="dxa"/>
            <w:shd w:val="clear" w:color="auto" w:fill="auto"/>
            <w:vAlign w:val="center"/>
          </w:tcPr>
          <w:p w14:paraId="7C971104"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青年</w:t>
            </w:r>
          </w:p>
        </w:tc>
        <w:tc>
          <w:tcPr>
            <w:tcW w:w="1213" w:type="dxa"/>
            <w:shd w:val="clear" w:color="auto" w:fill="auto"/>
            <w:vAlign w:val="center"/>
          </w:tcPr>
          <w:p w14:paraId="4A74B100"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1</w:t>
            </w:r>
          </w:p>
        </w:tc>
      </w:tr>
      <w:tr w:rsidR="00CF1E45" w:rsidRPr="000E4305" w14:paraId="018B4976" w14:textId="77777777" w:rsidTr="00F2719C">
        <w:trPr>
          <w:jc w:val="center"/>
        </w:trPr>
        <w:tc>
          <w:tcPr>
            <w:tcW w:w="1271" w:type="dxa"/>
            <w:shd w:val="clear" w:color="auto" w:fill="auto"/>
            <w:vAlign w:val="center"/>
          </w:tcPr>
          <w:p w14:paraId="040EC420" w14:textId="77777777" w:rsidR="00CF1E45" w:rsidRPr="002F0256" w:rsidRDefault="00CF1E45" w:rsidP="00F2719C">
            <w:pPr>
              <w:jc w:val="center"/>
              <w:rPr>
                <w:rFonts w:ascii="Times New Roman" w:eastAsia="仿宋" w:hAnsi="Times New Roman"/>
                <w:sz w:val="24"/>
                <w:szCs w:val="24"/>
              </w:rPr>
            </w:pPr>
            <w:r>
              <w:rPr>
                <w:rFonts w:ascii="Times New Roman" w:eastAsia="仿宋" w:hAnsi="Times New Roman"/>
                <w:sz w:val="24"/>
                <w:szCs w:val="24"/>
              </w:rPr>
              <w:t>MZSJ</w:t>
            </w:r>
            <w:r w:rsidRPr="002F0256">
              <w:rPr>
                <w:rFonts w:ascii="Times New Roman" w:eastAsia="仿宋" w:hAnsi="Times New Roman"/>
                <w:sz w:val="24"/>
                <w:szCs w:val="24"/>
              </w:rPr>
              <w:t>202310</w:t>
            </w:r>
          </w:p>
        </w:tc>
        <w:tc>
          <w:tcPr>
            <w:tcW w:w="3402" w:type="dxa"/>
            <w:shd w:val="clear" w:color="auto" w:fill="auto"/>
            <w:vAlign w:val="center"/>
          </w:tcPr>
          <w:p w14:paraId="4586A637" w14:textId="77777777" w:rsidR="00CF1E45" w:rsidRPr="002F0256" w:rsidRDefault="00CF1E45" w:rsidP="00F2719C">
            <w:pPr>
              <w:jc w:val="left"/>
              <w:rPr>
                <w:rFonts w:ascii="Times New Roman" w:eastAsia="仿宋" w:hAnsi="Times New Roman"/>
                <w:sz w:val="24"/>
                <w:szCs w:val="24"/>
              </w:rPr>
            </w:pPr>
            <w:r w:rsidRPr="002F0256">
              <w:rPr>
                <w:rFonts w:ascii="Times New Roman" w:eastAsia="仿宋" w:hAnsi="Times New Roman"/>
                <w:sz w:val="24"/>
                <w:szCs w:val="24"/>
              </w:rPr>
              <w:t>芍药</w:t>
            </w:r>
            <w:proofErr w:type="gramStart"/>
            <w:r w:rsidRPr="002F0256">
              <w:rPr>
                <w:rFonts w:ascii="Times New Roman" w:eastAsia="仿宋" w:hAnsi="Times New Roman"/>
                <w:sz w:val="24"/>
                <w:szCs w:val="24"/>
              </w:rPr>
              <w:t>苷</w:t>
            </w:r>
            <w:proofErr w:type="gramEnd"/>
            <w:r w:rsidRPr="002F0256">
              <w:rPr>
                <w:rFonts w:ascii="Times New Roman" w:eastAsia="仿宋" w:hAnsi="Times New Roman"/>
                <w:sz w:val="24"/>
                <w:szCs w:val="24"/>
              </w:rPr>
              <w:t>调控</w:t>
            </w:r>
            <w:r w:rsidRPr="002F0256">
              <w:rPr>
                <w:rFonts w:ascii="Times New Roman" w:eastAsia="仿宋" w:hAnsi="Times New Roman"/>
                <w:sz w:val="24"/>
                <w:szCs w:val="24"/>
              </w:rPr>
              <w:t>BDNF/NGF-TrkA-CREB</w:t>
            </w:r>
            <w:r w:rsidRPr="002F0256">
              <w:rPr>
                <w:rFonts w:ascii="Times New Roman" w:eastAsia="仿宋" w:hAnsi="Times New Roman"/>
                <w:sz w:val="24"/>
                <w:szCs w:val="24"/>
              </w:rPr>
              <w:t>炎性信号通路对术后认知功能障碍的保护机制研究</w:t>
            </w:r>
          </w:p>
        </w:tc>
        <w:tc>
          <w:tcPr>
            <w:tcW w:w="1134" w:type="dxa"/>
            <w:shd w:val="clear" w:color="auto" w:fill="auto"/>
            <w:vAlign w:val="center"/>
          </w:tcPr>
          <w:p w14:paraId="59A3545C"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杨清鑫</w:t>
            </w:r>
          </w:p>
        </w:tc>
        <w:tc>
          <w:tcPr>
            <w:tcW w:w="1276" w:type="dxa"/>
            <w:shd w:val="clear" w:color="auto" w:fill="auto"/>
            <w:vAlign w:val="center"/>
          </w:tcPr>
          <w:p w14:paraId="69E83917"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青年</w:t>
            </w:r>
          </w:p>
        </w:tc>
        <w:tc>
          <w:tcPr>
            <w:tcW w:w="1213" w:type="dxa"/>
            <w:shd w:val="clear" w:color="auto" w:fill="auto"/>
            <w:vAlign w:val="center"/>
          </w:tcPr>
          <w:p w14:paraId="0CE3283C" w14:textId="77777777" w:rsidR="00CF1E45" w:rsidRPr="002F0256" w:rsidRDefault="00CF1E45" w:rsidP="00F2719C">
            <w:pPr>
              <w:jc w:val="center"/>
              <w:rPr>
                <w:rFonts w:ascii="Times New Roman" w:eastAsia="仿宋" w:hAnsi="Times New Roman"/>
                <w:sz w:val="24"/>
                <w:szCs w:val="24"/>
              </w:rPr>
            </w:pPr>
            <w:r w:rsidRPr="002F0256">
              <w:rPr>
                <w:rFonts w:ascii="Times New Roman" w:eastAsia="仿宋" w:hAnsi="Times New Roman"/>
                <w:sz w:val="24"/>
                <w:szCs w:val="24"/>
              </w:rPr>
              <w:t>1</w:t>
            </w:r>
          </w:p>
        </w:tc>
      </w:tr>
    </w:tbl>
    <w:p w14:paraId="578DE82B" w14:textId="77777777" w:rsidR="00CF1E45" w:rsidRDefault="00CF1E45" w:rsidP="00CF1E45">
      <w:pPr>
        <w:jc w:val="center"/>
        <w:rPr>
          <w:rFonts w:ascii="仿宋" w:eastAsia="仿宋" w:hAnsi="仿宋"/>
          <w:sz w:val="24"/>
          <w:szCs w:val="24"/>
        </w:rPr>
      </w:pPr>
    </w:p>
    <w:p w14:paraId="7A108B37" w14:textId="77777777" w:rsidR="00CF1E45" w:rsidRDefault="00CF1E45" w:rsidP="00CF1E45">
      <w:pPr>
        <w:jc w:val="center"/>
        <w:rPr>
          <w:rFonts w:ascii="仿宋" w:eastAsia="仿宋" w:hAnsi="仿宋"/>
          <w:sz w:val="24"/>
          <w:szCs w:val="24"/>
        </w:rPr>
      </w:pPr>
    </w:p>
    <w:p w14:paraId="67B9C13A" w14:textId="77777777" w:rsidR="00CF1E45" w:rsidRDefault="00CF1E45" w:rsidP="00CF1E45">
      <w:pPr>
        <w:jc w:val="left"/>
        <w:rPr>
          <w:rFonts w:ascii="仿宋" w:eastAsia="仿宋" w:hAnsi="仿宋"/>
          <w:sz w:val="24"/>
          <w:szCs w:val="24"/>
        </w:rPr>
      </w:pPr>
    </w:p>
    <w:p w14:paraId="5C36BED6" w14:textId="77777777" w:rsidR="00CF1E45" w:rsidRDefault="00CF1E45" w:rsidP="00CF1E45">
      <w:pPr>
        <w:jc w:val="left"/>
        <w:rPr>
          <w:rFonts w:ascii="仿宋" w:eastAsia="仿宋" w:hAnsi="仿宋"/>
          <w:sz w:val="24"/>
          <w:szCs w:val="24"/>
        </w:rPr>
      </w:pPr>
    </w:p>
    <w:p w14:paraId="3B43FFBE" w14:textId="77777777" w:rsidR="00CF1E45" w:rsidRDefault="00CF1E45" w:rsidP="00CF1E45">
      <w:pPr>
        <w:jc w:val="left"/>
        <w:rPr>
          <w:rFonts w:ascii="仿宋" w:eastAsia="仿宋" w:hAnsi="仿宋"/>
          <w:sz w:val="24"/>
          <w:szCs w:val="24"/>
        </w:rPr>
      </w:pPr>
    </w:p>
    <w:p w14:paraId="3AB6FA5C" w14:textId="77777777" w:rsidR="00CF1E45" w:rsidRDefault="00CF1E45" w:rsidP="00CF1E45">
      <w:pPr>
        <w:jc w:val="left"/>
        <w:rPr>
          <w:rFonts w:ascii="仿宋" w:eastAsia="仿宋" w:hAnsi="仿宋"/>
          <w:sz w:val="24"/>
          <w:szCs w:val="24"/>
        </w:rPr>
      </w:pPr>
    </w:p>
    <w:p w14:paraId="18AF6933" w14:textId="77777777" w:rsidR="00CF1E45" w:rsidRDefault="00CF1E45" w:rsidP="00CF1E45">
      <w:pPr>
        <w:jc w:val="left"/>
        <w:rPr>
          <w:rFonts w:ascii="仿宋" w:eastAsia="仿宋" w:hAnsi="仿宋"/>
          <w:sz w:val="24"/>
          <w:szCs w:val="24"/>
        </w:rPr>
      </w:pPr>
    </w:p>
    <w:p w14:paraId="1C6391D6" w14:textId="77777777" w:rsidR="00CF1E45" w:rsidRDefault="00CF1E45" w:rsidP="00CF1E45">
      <w:pPr>
        <w:jc w:val="left"/>
        <w:rPr>
          <w:rFonts w:ascii="仿宋" w:eastAsia="仿宋" w:hAnsi="仿宋"/>
          <w:sz w:val="24"/>
          <w:szCs w:val="24"/>
        </w:rPr>
      </w:pPr>
    </w:p>
    <w:p w14:paraId="32DE7D15" w14:textId="77777777" w:rsidR="00CF1E45" w:rsidRDefault="00CF1E45" w:rsidP="00CF1E45">
      <w:pPr>
        <w:jc w:val="left"/>
        <w:rPr>
          <w:rFonts w:ascii="仿宋" w:eastAsia="仿宋" w:hAnsi="仿宋"/>
          <w:sz w:val="24"/>
          <w:szCs w:val="24"/>
        </w:rPr>
      </w:pPr>
    </w:p>
    <w:p w14:paraId="376D05E7" w14:textId="77777777" w:rsidR="00816AFA" w:rsidRDefault="00816AFA">
      <w:pPr>
        <w:rPr>
          <w:rFonts w:hint="eastAsia"/>
        </w:rPr>
      </w:pPr>
    </w:p>
    <w:sectPr w:rsidR="00816A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2141" w14:textId="77777777" w:rsidR="00661AF2" w:rsidRDefault="00661AF2" w:rsidP="00CF1E45">
      <w:r>
        <w:separator/>
      </w:r>
    </w:p>
  </w:endnote>
  <w:endnote w:type="continuationSeparator" w:id="0">
    <w:p w14:paraId="7AE94BBA" w14:textId="77777777" w:rsidR="00661AF2" w:rsidRDefault="00661AF2" w:rsidP="00CF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EE98" w14:textId="77777777" w:rsidR="00661AF2" w:rsidRDefault="00661AF2" w:rsidP="00CF1E45">
      <w:r>
        <w:separator/>
      </w:r>
    </w:p>
  </w:footnote>
  <w:footnote w:type="continuationSeparator" w:id="0">
    <w:p w14:paraId="2A101B4F" w14:textId="77777777" w:rsidR="00661AF2" w:rsidRDefault="00661AF2" w:rsidP="00CF1E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225"/>
    <w:rsid w:val="00522CAA"/>
    <w:rsid w:val="00661AF2"/>
    <w:rsid w:val="00816AFA"/>
    <w:rsid w:val="00874225"/>
    <w:rsid w:val="00CF1E45"/>
    <w:rsid w:val="00E54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2861D"/>
  <w15:chartTrackingRefBased/>
  <w15:docId w15:val="{9EA3E510-DF23-4851-91EF-2DA83B02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E45"/>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E4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F1E45"/>
    <w:rPr>
      <w:sz w:val="18"/>
      <w:szCs w:val="18"/>
    </w:rPr>
  </w:style>
  <w:style w:type="paragraph" w:styleId="a5">
    <w:name w:val="footer"/>
    <w:basedOn w:val="a"/>
    <w:link w:val="a6"/>
    <w:uiPriority w:val="99"/>
    <w:unhideWhenUsed/>
    <w:rsid w:val="00CF1E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F1E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云菲 束</dc:creator>
  <cp:keywords/>
  <dc:description/>
  <cp:lastModifiedBy>云菲 束</cp:lastModifiedBy>
  <cp:revision>2</cp:revision>
  <dcterms:created xsi:type="dcterms:W3CDTF">2024-02-07T00:27:00Z</dcterms:created>
  <dcterms:modified xsi:type="dcterms:W3CDTF">2024-02-07T00:27:00Z</dcterms:modified>
</cp:coreProperties>
</file>