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核素177Lu</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比选（2024）037号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拟对核素177Lu</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核素177Lu</w:t>
            </w:r>
            <w:bookmarkEnd w:id="30"/>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核素177Lu</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用于对专门开发和授权用于氧化镥放射性标记的载体分子进行放射性标记。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443397363"/>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1764042"/>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6BD10-F2D3-40A3-9045-77AB5C02B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66BDA49-E715-4D3E-BC78-979D9FF76453}"/>
  </w:font>
  <w:font w:name="仿宋">
    <w:panose1 w:val="02010609060101010101"/>
    <w:charset w:val="86"/>
    <w:family w:val="modern"/>
    <w:pitch w:val="default"/>
    <w:sig w:usb0="800002BF" w:usb1="38CF7CFA" w:usb2="00000016" w:usb3="00000000" w:csb0="00040001" w:csb1="00000000"/>
    <w:embedRegular r:id="rId3" w:fontKey="{1CCD01EC-B43B-4444-AFC4-2B4E908C2291}"/>
  </w:font>
  <w:font w:name="方正仿宋_GB2312">
    <w:panose1 w:val="02000000000000000000"/>
    <w:charset w:val="86"/>
    <w:family w:val="auto"/>
    <w:pitch w:val="default"/>
    <w:sig w:usb0="A00002BF" w:usb1="184F6CFA" w:usb2="00000012" w:usb3="00000000" w:csb0="00040001" w:csb1="00000000"/>
    <w:embedRegular r:id="rId4" w:fontKey="{B1116D2B-3C76-4906-8F53-920884675C4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71B5478"/>
    <w:rsid w:val="1B4E745B"/>
    <w:rsid w:val="1E500961"/>
    <w:rsid w:val="1F882E2D"/>
    <w:rsid w:val="201725C8"/>
    <w:rsid w:val="20975384"/>
    <w:rsid w:val="218B010D"/>
    <w:rsid w:val="26ED7BDF"/>
    <w:rsid w:val="27BC5339"/>
    <w:rsid w:val="29276970"/>
    <w:rsid w:val="2CB63FA3"/>
    <w:rsid w:val="2D0D7577"/>
    <w:rsid w:val="2EA22E91"/>
    <w:rsid w:val="308F5D57"/>
    <w:rsid w:val="31C24741"/>
    <w:rsid w:val="327718A3"/>
    <w:rsid w:val="3A7B24CC"/>
    <w:rsid w:val="3D2E2B76"/>
    <w:rsid w:val="3EB968CD"/>
    <w:rsid w:val="44C666DF"/>
    <w:rsid w:val="46A00372"/>
    <w:rsid w:val="47837AAA"/>
    <w:rsid w:val="48586940"/>
    <w:rsid w:val="4A55439E"/>
    <w:rsid w:val="4A83608C"/>
    <w:rsid w:val="4F9D48D9"/>
    <w:rsid w:val="4FF30DED"/>
    <w:rsid w:val="535130ED"/>
    <w:rsid w:val="57922692"/>
    <w:rsid w:val="5C33726B"/>
    <w:rsid w:val="642B482A"/>
    <w:rsid w:val="6BE9361A"/>
    <w:rsid w:val="6C8B53A2"/>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2024-01-29T08:54:59Z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D435778A78F343089D509843F37EEBC5_13</vt:lpwstr>
  </property>
</Properties>
</file>