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numId w:val="0"/>
        </w:numPr>
        <w:ind w:firstLine="1504" w:firstLineChars="400"/>
        <w:rPr>
          <w:rFonts w:ascii="黑体" w:hAnsi="黑体" w:eastAsia="黑体" w:cs="黑体"/>
          <w:spacing w:val="7"/>
          <w:sz w:val="36"/>
          <w:szCs w:val="36"/>
        </w:rPr>
      </w:pPr>
      <w:r>
        <w:rPr>
          <w:rFonts w:hint="eastAsia" w:ascii="黑体" w:hAnsi="黑体" w:eastAsia="黑体" w:cs="黑体"/>
          <w:spacing w:val="8"/>
          <w:sz w:val="36"/>
          <w:szCs w:val="36"/>
        </w:rPr>
        <w:t>项目名称</w:t>
      </w:r>
      <w:r>
        <w:rPr>
          <w:rFonts w:hint="eastAsia" w:ascii="黑体" w:hAnsi="黑体" w:eastAsia="黑体" w:cs="黑体"/>
          <w:spacing w:val="7"/>
          <w:sz w:val="36"/>
          <w:szCs w:val="36"/>
        </w:rPr>
        <w:t>：</w:t>
      </w:r>
      <w:r>
        <w:rPr>
          <w:rFonts w:hint="eastAsia" w:ascii="黑体" w:hAnsi="黑体" w:eastAsia="黑体" w:cs="黑体"/>
          <w:spacing w:val="7"/>
          <w:sz w:val="36"/>
          <w:szCs w:val="36"/>
          <w:lang w:eastAsia="zh-CN"/>
        </w:rPr>
        <w:t>放射性铅防护桶</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015</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spacing w:line="245" w:lineRule="auto"/>
        <w:ind w:firstLine="1280" w:firstLineChars="4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放射性铅防护桶</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spacing w:before="215" w:line="230" w:lineRule="auto"/>
        <w:ind w:left="44"/>
        <w:rPr>
          <w:rFonts w:hint="default" w:ascii="仿宋" w:hAnsi="仿宋" w:eastAsia="仿宋" w:cs="仿宋"/>
          <w:spacing w:val="5"/>
          <w:sz w:val="31"/>
          <w:szCs w:val="31"/>
          <w:u w:val="none"/>
          <w:lang w:val="en-US" w:eastAsia="zh-CN"/>
        </w:rPr>
      </w:pPr>
      <w:r>
        <w:rPr>
          <w:rFonts w:hint="eastAsia" w:ascii="仿宋" w:hAnsi="仿宋" w:eastAsia="仿宋" w:cs="仿宋"/>
          <w:spacing w:val="5"/>
          <w:sz w:val="31"/>
          <w:szCs w:val="31"/>
          <w:lang w:val="en-US" w:eastAsia="zh-CN"/>
        </w:rPr>
        <w:t>10个</w:t>
      </w:r>
      <w:r>
        <w:rPr>
          <w:rFonts w:hint="eastAsia" w:ascii="仿宋" w:hAnsi="仿宋" w:eastAsia="仿宋" w:cs="仿宋"/>
          <w:spacing w:val="5"/>
          <w:sz w:val="31"/>
          <w:szCs w:val="31"/>
          <w:u w:val="none"/>
        </w:rPr>
        <w:t>放射性铅防护桶</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bookmarkStart w:id="30" w:name="_GoBack"/>
      <w:bookmarkEnd w:id="30"/>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（1）放射性注射器运送防护箱2个：箱盖设计为入坞式屏蔽，箱体配不锈钢把手；铅当量：≥10 mmPb；尺寸：≥260 mm*95 mm*95 mm。</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（2）放射性PET药物运送铅罐2个：罐顶部带有锁紧入坞式屏蔽盖，箱体配不锈钢把手；铅当量：≥40 mmPb；内尺寸：适用于10ml无菌西林瓶，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外尺寸：≥15 cm*10 cm。</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（3）放射性废物储存桶6个：容积≥50L,铅当量≥10mmPb,数量2个；容积≥100L,铅当量≥10mmPb,数量2个；容积≥400L,铅当量≥30mmPb,数量2个。</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（4）提供产品铭牌照片佐证设备使用期限。</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3563815"/>
      <w:bookmarkStart w:id="2" w:name="_Toc482266098"/>
      <w:bookmarkStart w:id="3" w:name="_Toc87974341"/>
      <w:bookmarkStart w:id="4" w:name="_Toc11832062"/>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3563872"/>
      <w:bookmarkStart w:id="7" w:name="_Toc11764032"/>
      <w:bookmarkStart w:id="8" w:name="_Toc482266101"/>
      <w:bookmarkStart w:id="9" w:name="_Toc443397365"/>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3563876"/>
      <w:bookmarkStart w:id="11" w:name="_Toc1176403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3563879"/>
      <w:bookmarkStart w:id="17" w:name="_Toc479755777"/>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1764040"/>
      <w:bookmarkStart w:id="22" w:name="_Toc13563881"/>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3563882"/>
      <w:bookmarkStart w:id="24" w:name="_Toc11764041"/>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82266104"/>
      <w:bookmarkStart w:id="26" w:name="_Toc11764042"/>
      <w:bookmarkStart w:id="27" w:name="_Toc443397367"/>
      <w:bookmarkStart w:id="28" w:name="_Toc443393358"/>
      <w:bookmarkStart w:id="29" w:name="_Toc13563883"/>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9CE64D-9D91-4663-A062-FD2754D252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D10B851A-30B0-4323-A301-3711EE9716F9}"/>
  </w:font>
  <w:font w:name="仿宋">
    <w:panose1 w:val="02010609060101010101"/>
    <w:charset w:val="86"/>
    <w:family w:val="modern"/>
    <w:pitch w:val="default"/>
    <w:sig w:usb0="800002BF" w:usb1="38CF7CFA" w:usb2="00000016" w:usb3="00000000" w:csb0="00040001" w:csb1="00000000"/>
    <w:embedRegular r:id="rId3" w:fontKey="{40DB1809-A8F8-4978-9AC5-5A6775F2D836}"/>
  </w:font>
  <w:font w:name="Arial Unicode MS">
    <w:panose1 w:val="020B0604020202020204"/>
    <w:charset w:val="86"/>
    <w:family w:val="swiss"/>
    <w:pitch w:val="default"/>
    <w:sig w:usb0="FFFFFFFF" w:usb1="E9FFFFFF" w:usb2="0000003F" w:usb3="00000000" w:csb0="603F01FF" w:csb1="FFFF0000"/>
  </w:font>
  <w:font w:name="方正仿宋_GB2312">
    <w:panose1 w:val="02000000000000000000"/>
    <w:charset w:val="86"/>
    <w:family w:val="auto"/>
    <w:pitch w:val="default"/>
    <w:sig w:usb0="A00002BF" w:usb1="184F6CFA" w:usb2="00000012" w:usb3="00000000" w:csb0="00040001" w:csb1="00000000"/>
    <w:embedRegular r:id="rId4" w:fontKey="{6DB2870F-10D5-4B0B-B942-EE5966AB8C72}"/>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E4D3152"/>
    <w:rsid w:val="0FF47E3A"/>
    <w:rsid w:val="1E500961"/>
    <w:rsid w:val="201725C8"/>
    <w:rsid w:val="29276970"/>
    <w:rsid w:val="2CB63FA3"/>
    <w:rsid w:val="31132938"/>
    <w:rsid w:val="368F3A91"/>
    <w:rsid w:val="3E960A3C"/>
    <w:rsid w:val="43375539"/>
    <w:rsid w:val="490E1F0B"/>
    <w:rsid w:val="4F9D48D9"/>
    <w:rsid w:val="525939B7"/>
    <w:rsid w:val="5C33726B"/>
    <w:rsid w:val="64ED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2024-01-16T08:42:57Z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